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DAWNBLOOM-Cookie- und ähnliche Technologien-Richtlinie</w:t>
      </w:r>
    </w:p>
    <w:p>
      <w:pPr>
        <w:keepLines w:val="0"/>
      </w:pPr>
      <w:r>
        <w:rPr>
          <w:rFonts w:ascii="Noto Sans" w:hAnsi="Noto Sans" w:eastAsia="Noto Sans TC" w:cs="Noto Sans"/>
          <w:b w:val="0"/>
        </w:rPr>
        <w:t>Cookie- und ähnliche Technologien-Richtlinie · Offizielle Version</w:t>
      </w:r>
    </w:p>
    <w:p>
      <w:pPr>
        <w:keepLines w:val="0"/>
      </w:pPr>
      <w:r>
        <w:rPr>
          <w:rFonts w:ascii="Noto Sans" w:hAnsi="Noto Sans" w:eastAsia="Noto Sans TC" w:cs="Noto Sans"/>
          <w:b w:val="0"/>
        </w:rPr>
        <w:t>Version: V7</w:t>
      </w:r>
    </w:p>
    <w:p>
      <w:pPr>
        <w:keepLines w:val="0"/>
      </w:pPr>
      <w:r>
        <w:rPr>
          <w:rFonts w:ascii="Noto Sans" w:hAnsi="Noto Sans" w:eastAsia="Noto Sans TC" w:cs="Noto Sans"/>
          <w:b w:val="0"/>
        </w:rPr>
        <w:t>Gültigkeitsdatum: 9. Oktober 2026</w:t>
      </w:r>
    </w:p>
    <w:p>
      <w:pPr>
        <w:keepLines w:val="0"/>
      </w:pPr>
      <w:r>
        <w:rPr>
          <w:rFonts w:ascii="Noto Sans" w:hAnsi="Noto Sans" w:eastAsia="Noto Sans TC" w:cs="Noto Sans"/>
          <w:b w:val="0"/>
        </w:rPr>
        <w:t>Aktualisiert: 9. Oktober 2026</w:t>
      </w:r>
    </w:p>
    <w:p>
      <w:pPr>
        <w:keepLines w:val="0"/>
      </w:pPr>
      <w:r>
        <w:rPr>
          <w:rFonts w:ascii="Noto Sans" w:hAnsi="Noto Sans" w:eastAsia="Noto Sans TC" w:cs="Noto Sans"/>
          <w:b w:val="0"/>
        </w:rPr>
      </w:r>
    </w:p>
    <w:p>
      <w:pPr>
        <w:keepLines w:val="0"/>
      </w:pPr>
      <w:r>
        <w:rPr>
          <w:rFonts w:ascii="Noto Sans" w:hAnsi="Noto Sans" w:eastAsia="Noto Sans TC" w:cs="Noto Sans"/>
          <w:b w:val="0"/>
        </w:rPr>
        <w:t>Geltungsbereich: dawnbloom.net, offizielle Subdomains, DAWNBLOOM Community und damit verbundene Webdienste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Noto Sans TC" w:cs="Noto Sans"/>
                <w:sz w:val="17"/>
              </w:rPr>
              <w:t>Aktuelle Gestaltungsgrundsätze:</w:t>
              <w:br/>
              <w:t>DAWNBLOOM integriert derzeit keine Drittanbieter-Marketing-Tracking-Tools wie Google Analytics oder Meta Pixel. Benutzerinformationen werden nicht verkauft und nicht mit plattformübergreifenden oder kontextübergreifenden Verhaltenswerbeplattformen geteilt. Es werden keine werbespezifischen Cookies gesetzt. Diese Richtlinie beschränkt daher Cookies und ähnliche Technologien auf solche, die für das Kontomanagement, die Forennutzung, Shop-Funktionen, Sprachpräferenzen und den Schutz der Sicherheit unerlässlich sind.</w:t>
            </w:r>
          </w:p>
        </w:tc>
      </w:tr>
    </w:tbl>
    <w:p>
      <w:pPr>
        <w:spacing w:after="40"/>
      </w:pPr>
    </w:p>
    <w:p>
      <w:pPr>
        <w:pStyle w:val="Heading1"/>
        <w:keepLines w:val="0"/>
      </w:pPr>
      <w:r>
        <w:rPr>
          <w:rFonts w:ascii="Noto Sans" w:hAnsi="Noto Sans" w:eastAsia="Noto Sans TC" w:cs="Noto Sans"/>
          <w:b w:val="0"/>
        </w:rPr>
        <w:t>Ein-Seiten-Zusammenfassung: Wie wir Cookies verwenden</w:t>
      </w:r>
    </w:p>
    <w:p>
      <w:pPr>
        <w:pStyle w:val="ListBullet"/>
        <w:keepLines w:val="0"/>
      </w:pPr>
      <w:r>
        <w:rPr>
          <w:rFonts w:ascii="Noto Sans" w:hAnsi="Noto Sans" w:eastAsia="Noto Sans TC" w:cs="Noto Sans"/>
          <w:b w:val="0"/>
        </w:rPr>
        <w:t>Wir verwenden First-Party-Browserspeicher, um Anmelde- und Community-Sitzungen aufrechtzuerhalten, Anfragen zu schützen, Ihre gewählte Website-Sprache und Minispiel-Einstellungen zu merken. Die Speicherung von Transaktionszuständen des Shops ist derzeit nicht aktiviert.</w:t>
      </w:r>
    </w:p>
    <w:p>
      <w:pPr>
        <w:pStyle w:val="ListBullet"/>
        <w:keepLines w:val="0"/>
      </w:pPr>
      <w:r>
        <w:rPr>
          <w:rFonts w:ascii="Noto Sans" w:hAnsi="Noto Sans" w:eastAsia="Noto Sans TC" w:cs="Noto Sans"/>
          <w:b w:val="0"/>
        </w:rPr>
        <w:t>Wir verwenden derzeit keine Werbetreibenden-Tracking-Cookies, schalten keine plattformübergreifende Verhaltenswerbung und setzen weder Google Analytics noch Meta Pixel ein.</w:t>
      </w:r>
    </w:p>
    <w:p>
      <w:pPr>
        <w:pStyle w:val="ListBullet"/>
        <w:keepLines w:val="0"/>
      </w:pPr>
      <w:r>
        <w:rPr>
          <w:rFonts w:ascii="Noto Sans" w:hAnsi="Noto Sans" w:eastAsia="Noto Sans TC" w:cs="Noto Sans"/>
          <w:b w:val="0"/>
        </w:rPr>
        <w:t>Cloudflare, als Anbieter von DNS-/CDN-/Sicherheitsdiensten, kann bei Aktivierung von Funktionen wie Sicherheits-Herausforderungen, Bot Fight und Ratenbegrenzung je nach tatsächlicher Konfiguration notwendige Sicherheits-Cookies setzen.</w:t>
      </w:r>
    </w:p>
    <w:p>
      <w:pPr>
        <w:pStyle w:val="ListBullet"/>
        <w:keepLines w:val="0"/>
      </w:pPr>
      <w:r>
        <w:rPr>
          <w:rFonts w:ascii="Noto Sans" w:hAnsi="Noto Sans" w:eastAsia="Noto Sans TC" w:cs="Noto Sans"/>
          <w:b w:val="0"/>
        </w:rPr>
        <w:t>Sie können Cookies in Ihrem Browser löschen oder blockieren. Das Blockieren von Elementen, die für die Anmeldung und Sicherheit erforderlich sind, kann das Anmelden verhindern, eine Community-Session beenden oder eine Sicherheits-Herausforderung wiederholen lassen.</w:t>
      </w:r>
    </w:p>
    <w:p>
      <w:pPr>
        <w:pStyle w:val="ListBullet"/>
        <w:keepLines w:val="0"/>
      </w:pPr>
      <w:r>
        <w:rPr>
          <w:rFonts w:ascii="Noto Sans" w:hAnsi="Noto Sans" w:eastAsia="Noto Sans TC" w:cs="Noto Sans"/>
          <w:b w:val="0"/>
        </w:rPr>
        <w:t>Für den Fall, dass wir künftig nicht wesentliche Analyse-, Werbe- oder andere Tracking-Technologien einführen, aktualisieren wir zunächst diese Richtlinie und stellen, sofern dies nach geltendem Recht erforderlich ist, Nutzern Mechanismen zur Verfügung, um dieser Nutzung zuzustimmen, sich zu entscheiden oder die Zustimmung zurückzuziehen.</w:t>
      </w:r>
    </w:p>
    <w:p>
      <w:pPr>
        <w:pStyle w:val="Heading1"/>
        <w:keepLines w:val="0"/>
      </w:pPr>
      <w:r>
        <w:rPr>
          <w:rFonts w:ascii="Noto Sans" w:hAnsi="Noto Sans" w:eastAsia="Noto Sans TC" w:cs="Noto Sans"/>
          <w:b w:val="0"/>
        </w:rPr>
        <w:t>1. Geltungsbereich und Beziehung zu dieser Richtlinie</w:t>
      </w:r>
    </w:p>
    <w:p>
      <w:pPr>
        <w:keepLines w:val="0"/>
      </w:pPr>
      <w:r>
        <w:rPr>
          <w:rFonts w:ascii="Noto Sans" w:hAnsi="Noto Sans" w:eastAsia="Noto Sans TC" w:cs="Noto Sans"/>
          <w:b w:val="0"/>
        </w:rPr>
        <w:t xml:space="preserve">Diese Richtlinie gilt für die globale Hauptseite dawnbloom.net und offizielle Subdomains, DAWNBLOOM Community, Konto, Support, Download- und Shop-Seiten sowie relevante Technologien an den regionalen Sprachumleitungs-Einträgen dawnbloom.com.cn und dawnbloom.jp mit ihren www-Einträgen. Die offiziellen koreanischen Spracheinträge dawnbloom.kr und www.dawnbloom.kr verwenden HTTPS 301-Umleitungen zu </w:t>
      </w:r>
      <w:hyperlink r:id="rId11">
        <w:r>
          <w:rPr>
            <w:rFonts w:ascii="Noto Sans" w:hAnsi="Noto Sans" w:eastAsia="Noto Sans TC"/>
            <w:b w:val="0"/>
          </w:rPr>
          <w:t xml:space="preserve">https://dawnbloom.net/kr/.</w:t>
        </w:r>
      </w:hyperlink>
      <w:r>
        <w:rPr>
          <w:rFonts w:ascii="Noto Sans" w:hAnsi="Noto Sans" w:eastAsia="Noto Sans TC" w:cs="Noto Sans"/>
          <w:b w:val="0"/>
        </w:rPr>
        <w:t xml:space="preserve"> DNS-Änderungen können Zeit benötigen, um sich auszubreiten. Sie verwenden die einheitliche Website und erstellen keine separate Website, kein separates Konto, keine separate Datenbank oder keinen separaten koreanischen Spielserver. Regionale Einträge haben keine separaten Geschäftsseiten. Beide regionalen Einträge sind offen und verwenden HTTPS 301-Umleitungen zu den chinesischen bzw. japanischen Hauptseitenpfaden. Normale Umleitungsantworten setzen keine separaten Geschäft-Cookies und bieten keine unabhängigen Seiten oder Analyse-Skripte. Die Konfiguration der Netzwerkfehlerberichterstattung von Cloudflare kann weiterhin notwendige Netzwerkdaten umfassen; spezifische Protokolle und Sicherheitseinstellungen hängen von der tatsächlichen Service-Konfiguration ab. Umleitung bedeutet nicht, dass Zugriffsdaten nicht verarbeitet werden; notwendige Sicherheits-Cookies hängen von der tatsächlichen Konfiguration und dem Besuch ab. Diese Richtlinie erfindet keine eintragsspezifischen Cookie-Namen oder Aufbewahrungsfristen. Sobald man auf der Hauptseite ist, folgen Sitzungen und Sprachspeicherung dem aktuellen Inventar unten. Siehe die Betrugswarnung für bestehende Markenschutz-Einträge. Cookies und WebView/WebKit-Daten von Drittanbieter-Sites, die im Browser besucht wurden, sind keine First-Party-Cookies der Hauptseite; das einheitliche Datenschutzrichtlinie, die Browser-Bedingungen und die Richtlinien dieser Websites erklären deren Handhabung.</w:t>
      </w:r>
    </w:p>
    <w:p>
      <w:pPr>
        <w:keepLines w:val="0"/>
      </w:pPr>
      <w:r>
        <w:rPr>
          <w:rFonts w:ascii="Noto Sans" w:hAnsi="Noto Sans" w:eastAsia="Noto Sans TC" w:cs="Noto Sans"/>
          <w:b w:val="0"/>
        </w:rPr>
        <w:t>Die sieben Produktseiten der Website, Download-Statusseiten, Support- und Rechtseiten fallen unter diese Website-Richtlinie. Lokale Brows-, Nachrichtenpräferenz-, Mail- oder Dateidaten in einer App werden nicht einfach deshalb zu einem Website-Cookie, weil es ein DAWNBLOOM-Produkt ist; siehe die Datenschutzrichtlinie für jeden Grenzbereich.</w:t>
      </w:r>
    </w:p>
    <w:p>
      <w:pPr>
        <w:keepLines w:val="0"/>
      </w:pPr>
      <w:r>
        <w:rPr>
          <w:rFonts w:ascii="Noto Sans" w:hAnsi="Noto Sans" w:eastAsia="Noto Sans TC" w:cs="Noto Sans"/>
          <w:b w:val="0"/>
        </w:rPr>
        <w:t>Diese Richtlinie ergänzt die DAWNBLOOM Datenschutzrichtlinie für Website-Cookies. Die Verarbeitung personenbezogener Daten bleibt dieser Richtlinie und dem anwendbaren Recht unterworfen. Im Falle eines Konflikts gilt eine gesetzliche Regel, die einen größeren Schutz der Benutzerrechte bietet.</w:t>
      </w:r>
    </w:p>
    <w:p>
      <w:pPr>
        <w:keepLines w:val="0"/>
      </w:pPr>
      <w:r>
        <w:rPr>
          <w:rFonts w:ascii="Noto Sans" w:hAnsi="Noto Sans" w:eastAsia="Noto Sans TC" w:cs="Noto Sans"/>
          <w:b w:val="0"/>
        </w:rPr>
        <w:t>Drittanbieter-Websites und Dienste wie Steam, Apple, WeChat, Alipay, UnionPay, Visa, Mastercard, WhatsApp, Facebook, Instagram, YouTube können Cookies oder ähnliche Technologien auf ihren eigenen Domains, Seiten, SDKs oder innerhalb von Zahlungs-/Login-Flows verwenden. Solche Nutzungen unterliegen den jeweiligen Richtlinien der Drittanbieter.</w:t>
      </w:r>
    </w:p>
    <w:p>
      <w:pPr>
        <w:pStyle w:val="Heading1"/>
        <w:keepLines w:val="0"/>
      </w:pPr>
      <w:r>
        <w:rPr>
          <w:rFonts w:ascii="Noto Sans" w:hAnsi="Noto Sans" w:eastAsia="Noto Sans TC" w:cs="Noto Sans"/>
          <w:b w:val="0"/>
        </w:rPr>
        <w:t>2. Was sind Cookies und „ähnliche Technologien“?</w:t>
      </w:r>
    </w:p>
    <w:p>
      <w:pPr>
        <w:keepLines w:val="0"/>
      </w:pPr>
      <w:r>
        <w:rPr>
          <w:rFonts w:ascii="Noto Sans" w:hAnsi="Noto Sans" w:eastAsia="Noto Sans TC" w:cs="Noto Sans"/>
          <w:b w:val="0"/>
        </w:rPr>
        <w:t>Ein Cookie ist ein kleines Datenfragment, das von einer Website über Ihren Browser auf Ihrem Gerät gespeichert wird und üblicherweise zur Identifizierung einer Sitzung, zum Aufrechterhalten des Anmeldestatus, zum Speichern von Benutzerpräferenzen, zum Schutz der Website vor Missbrauch oder zum Abschließen von Kaufabläufen dient.</w:t>
      </w:r>
    </w:p>
    <w:p>
      <w:pPr>
        <w:keepLines w:val="0"/>
      </w:pPr>
      <w:r>
        <w:rPr>
          <w:rFonts w:ascii="Noto Sans" w:hAnsi="Noto Sans" w:eastAsia="Noto Sans TC" w:cs="Noto Sans"/>
          <w:b w:val="0"/>
        </w:rPr>
        <w:t>„Ähnliche Technologien“ umfassen unter anderem browserbasierten lokalen Speicher (Local Storage), Sitzungspeicher (Session Storage), sichere Tokens, Geräte- oder Browserkennungen sowie andere Webspeicher- oder Identifizierungsmechanismen, die zur Erreichung ähnlicher Funktionen verwendet werden.</w:t>
      </w:r>
    </w:p>
    <w:p>
      <w:pPr>
        <w:keepLines w:val="0"/>
      </w:pPr>
      <w:r>
        <w:rPr>
          <w:rFonts w:ascii="Noto Sans" w:hAnsi="Noto Sans" w:eastAsia="Noto Sans TC" w:cs="Noto Sans"/>
          <w:b w:val="0"/>
        </w:rPr>
        <w:t>Gemäß den öffentlichen Leitlinien der japanischen Kommission zum Schutz personenbezogener Daten können Geräte-Identifikatoren wie Cookies weiterhin als personenbeziehbare Informationen (personally referable information) gelten, wenn sie nicht direkt persönliche Informationen (personal information) darstellen. Wenn sie leicht mit anderen Informationen kombiniert werden können, um eine bestimmte Person zu identifizieren, kann die kombinierte Information als persönliche Informationen (personal information) behandelt werden. Wir gehen daher nicht davon aus, dass Cookies keine persönlichen Informationen (personal information) sind.</w:t>
      </w:r>
    </w:p>
    <w:p>
      <w:pPr>
        <w:pStyle w:val="Heading1"/>
        <w:keepLines w:val="0"/>
      </w:pPr>
      <w:r>
        <w:rPr>
          <w:rFonts w:ascii="Noto Sans" w:hAnsi="Noto Sans" w:eastAsia="Noto Sans TC" w:cs="Noto Sans"/>
          <w:b w:val="0"/>
        </w:rPr>
        <w:t>3. Die Arten von Technologien, die wir derzeit verwenden</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Noto Sans" w:hAnsi="Noto Sans" w:eastAsia="Noto Sans TC" w:cs="Noto Sans"/>
                <w:b/>
                <w:sz w:val="17"/>
              </w:rPr>
              <w:t>Kategorien</w:t>
            </w:r>
          </w:p>
        </w:tc>
        <w:tc>
          <w:tcPr>
            <w:tcW w:type="dxa" w:w="1949"/>
            <w:vAlign w:val="center"/>
            <w:shd w:fill="DCE8F7"/>
          </w:tcPr>
          <w:p>
            <w:pPr>
              <w:keepNext/>
              <w:spacing w:after="40"/>
            </w:pPr>
            <w:r>
              <w:rPr>
                <w:rFonts w:ascii="Noto Sans" w:hAnsi="Noto Sans" w:eastAsia="Noto Sans TC" w:cs="Noto Sans"/>
                <w:b/>
                <w:sz w:val="17"/>
              </w:rPr>
              <w:t>Typische Anwendungsfälle</w:t>
            </w:r>
          </w:p>
        </w:tc>
        <w:tc>
          <w:tcPr>
            <w:tcW w:type="dxa" w:w="1949"/>
            <w:vAlign w:val="center"/>
            <w:shd w:fill="DCE8F7"/>
          </w:tcPr>
          <w:p>
            <w:pPr>
              <w:keepNext/>
              <w:spacing w:after="40"/>
            </w:pPr>
            <w:r>
              <w:rPr>
                <w:rFonts w:ascii="Noto Sans" w:hAnsi="Noto Sans" w:eastAsia="Noto Sans TC" w:cs="Noto Sans"/>
                <w:b/>
                <w:sz w:val="17"/>
              </w:rPr>
              <w:t>Aktueller Status</w:t>
            </w:r>
          </w:p>
        </w:tc>
        <w:tc>
          <w:tcPr>
            <w:tcW w:type="dxa" w:w="1949"/>
            <w:vAlign w:val="center"/>
            <w:shd w:fill="DCE8F7"/>
          </w:tcPr>
          <w:p>
            <w:pPr>
              <w:keepNext/>
              <w:spacing w:after="40"/>
            </w:pPr>
            <w:r>
              <w:rPr>
                <w:rFonts w:ascii="Noto Sans" w:hAnsi="Noto Sans" w:eastAsia="Noto Sans TC" w:cs="Noto Sans"/>
                <w:b/>
                <w:sz w:val="17"/>
              </w:rPr>
              <w:t>Kann deaktiviert werden</w:t>
            </w:r>
          </w:p>
        </w:tc>
        <w:tc>
          <w:tcPr>
            <w:tcW w:type="dxa" w:w="1949"/>
            <w:vAlign w:val="center"/>
            <w:shd w:fill="DCE8F7"/>
          </w:tcPr>
          <w:p>
            <w:pPr>
              <w:keepNext/>
              <w:spacing w:after="40"/>
            </w:pPr>
            <w:r>
              <w:rPr>
                <w:rFonts w:ascii="Noto Sans" w:hAnsi="Noto Sans" w:eastAsia="Noto Sans TC" w:cs="Noto Sans"/>
                <w:b/>
                <w:sz w:val="17"/>
              </w:rPr>
              <w:t>Grundsätze für Speicherung und Aufbewahrung</w:t>
            </w:r>
          </w:p>
        </w:tc>
      </w:tr>
      <w:tr>
        <w:trPr>
          <w:cantSplit/>
        </w:trPr>
        <w:tc>
          <w:tcPr>
            <w:tcW w:type="dxa" w:w="1949"/>
            <w:vAlign w:val="center"/>
          </w:tcPr>
          <w:p>
            <w:pPr>
              <w:spacing w:after="40"/>
            </w:pPr>
            <w:r>
              <w:rPr>
                <w:rFonts w:ascii="Noto Sans" w:hAnsi="Noto Sans" w:eastAsia="Noto Sans TC" w:cs="Noto Sans"/>
                <w:sz w:val="17"/>
              </w:rPr>
              <w:t>Streng notwendig / Sicherheit</w:t>
            </w:r>
          </w:p>
        </w:tc>
        <w:tc>
          <w:tcPr>
            <w:tcW w:type="dxa" w:w="1949"/>
            <w:vAlign w:val="center"/>
          </w:tcPr>
          <w:p>
            <w:pPr>
              <w:spacing w:after="40"/>
            </w:pPr>
            <w:r>
              <w:rPr>
                <w:rFonts w:ascii="Noto Sans" w:hAnsi="Noto Sans" w:eastAsia="Noto Sans TC" w:cs="Noto Sans"/>
                <w:sz w:val="17"/>
              </w:rPr>
              <w:t>Anmeldesitzungen, Identitätsüberprüfung, CSRF-Schutz/Schutz vor Replay-Angriffen, Sicherheits-Herausforderungen, Ratenbegrenzung, Foren-Sitzungsverwaltung und Transaktionsabläufe im Shop</w:t>
            </w:r>
          </w:p>
        </w:tc>
        <w:tc>
          <w:tcPr>
            <w:tcW w:type="dxa" w:w="1949"/>
            <w:vAlign w:val="center"/>
          </w:tcPr>
          <w:p>
            <w:pPr>
              <w:spacing w:after="40"/>
            </w:pPr>
            <w:r>
              <w:rPr>
                <w:rFonts w:ascii="Noto Sans" w:hAnsi="Noto Sans" w:eastAsia="Noto Sans TC" w:cs="Noto Sans"/>
                <w:sz w:val="17"/>
              </w:rPr>
              <w:t>Wird in tatsächlichen Anmelde-/Sicherheitsszenarien verwendet; Transaktionsspeicherung ist nicht aktiviert</w:t>
            </w:r>
          </w:p>
        </w:tc>
        <w:tc>
          <w:tcPr>
            <w:tcW w:type="dxa" w:w="1949"/>
            <w:vAlign w:val="center"/>
          </w:tcPr>
          <w:p>
            <w:pPr>
              <w:spacing w:after="40"/>
            </w:pPr>
            <w:r>
              <w:rPr>
                <w:rFonts w:ascii="Noto Sans" w:hAnsi="Noto Sans" w:eastAsia="Noto Sans TC" w:cs="Noto Sans"/>
                <w:sz w:val="17"/>
              </w:rPr>
              <w:t>Typischerweise während der Nutzung der Kernfunktionen nicht kündbar</w:t>
            </w:r>
          </w:p>
        </w:tc>
        <w:tc>
          <w:tcPr>
            <w:tcW w:type="dxa" w:w="1949"/>
            <w:vAlign w:val="center"/>
          </w:tcPr>
          <w:p>
            <w:pPr>
              <w:spacing w:after="40"/>
            </w:pPr>
            <w:r>
              <w:rPr>
                <w:rFonts w:ascii="Noto Sans" w:hAnsi="Noto Sans" w:eastAsia="Noto Sans TC" w:cs="Noto Sans"/>
                <w:sz w:val="17"/>
              </w:rPr>
              <w:t>Die kürzeste angemessene Dauer, die während einer Sitzung oder zur Erreichung von Sicherheits-/Transaktionszwecken erforderlich ist; spezifische Aufbewahrungsfristen werden in der offiziellen Cookie-Liste definiert</w:t>
            </w:r>
          </w:p>
        </w:tc>
      </w:tr>
      <w:tr>
        <w:trPr>
          <w:cantSplit/>
        </w:trPr>
        <w:tc>
          <w:tcPr>
            <w:tcW w:type="dxa" w:w="1949"/>
            <w:vAlign w:val="center"/>
          </w:tcPr>
          <w:p>
            <w:pPr>
              <w:spacing w:after="40"/>
            </w:pPr>
            <w:r>
              <w:rPr>
                <w:rFonts w:ascii="Noto Sans" w:hAnsi="Noto Sans" w:eastAsia="Noto Sans TC" w:cs="Noto Sans"/>
                <w:sz w:val="17"/>
              </w:rPr>
              <w:t>Präferenzen und Funktionalität</w:t>
            </w:r>
          </w:p>
        </w:tc>
        <w:tc>
          <w:tcPr>
            <w:tcW w:type="dxa" w:w="1949"/>
            <w:vAlign w:val="center"/>
          </w:tcPr>
          <w:p>
            <w:pPr>
              <w:spacing w:after="40"/>
            </w:pPr>
            <w:r>
              <w:rPr>
                <w:rFonts w:ascii="Noto Sans" w:hAnsi="Noto Sans" w:eastAsia="Noto Sans TC" w:cs="Noto Sans"/>
                <w:sz w:val="17"/>
              </w:rPr>
              <w:t>Merken Sie sich Ihre gewählte Website-Sprache, Interface-Einstellungen und notwendige gemerkte Auswahlmöglichkeiten.</w:t>
            </w:r>
          </w:p>
        </w:tc>
        <w:tc>
          <w:tcPr>
            <w:tcW w:type="dxa" w:w="1949"/>
            <w:vAlign w:val="center"/>
          </w:tcPr>
          <w:p>
            <w:pPr>
              <w:spacing w:after="40"/>
            </w:pPr>
            <w:r>
              <w:rPr>
                <w:rFonts w:ascii="Noto Sans" w:hAnsi="Noto Sans" w:eastAsia="Noto Sans TC" w:cs="Noto Sans"/>
                <w:sz w:val="17"/>
              </w:rPr>
              <w:t>Derzeit verwendet für Website-Sprach- und Minispiel-Präferenzen</w:t>
            </w:r>
          </w:p>
        </w:tc>
        <w:tc>
          <w:tcPr>
            <w:tcW w:type="dxa" w:w="1949"/>
            <w:vAlign w:val="center"/>
          </w:tcPr>
          <w:p>
            <w:pPr>
              <w:spacing w:after="40"/>
            </w:pPr>
            <w:r>
              <w:rPr>
                <w:rFonts w:ascii="Noto Sans" w:hAnsi="Noto Sans" w:eastAsia="Noto Sans TC" w:cs="Noto Sans"/>
                <w:sz w:val="17"/>
              </w:rPr>
              <w:t>Kann über Browsereinstellungen oder zukünftige Cookie-Konfigurationsoptionen gelöscht werden</w:t>
            </w:r>
          </w:p>
        </w:tc>
        <w:tc>
          <w:tcPr>
            <w:tcW w:type="dxa" w:w="1949"/>
            <w:vAlign w:val="center"/>
          </w:tcPr>
          <w:p>
            <w:pPr>
              <w:spacing w:after="40"/>
            </w:pPr>
            <w:r>
              <w:rPr>
                <w:rFonts w:ascii="Noto Sans" w:hAnsi="Noto Sans" w:eastAsia="Noto Sans TC" w:cs="Noto Sans"/>
                <w:sz w:val="17"/>
              </w:rPr>
              <w:t>zg-locale und Minispiel-Stumm bleiben bestehen, bis sie gelöscht werden; die Musikposition gilt nur für die aktuelle Tab-Sitzung</w:t>
            </w:r>
          </w:p>
        </w:tc>
      </w:tr>
      <w:tr>
        <w:trPr>
          <w:cantSplit/>
        </w:trPr>
        <w:tc>
          <w:tcPr>
            <w:tcW w:type="dxa" w:w="1949"/>
            <w:vAlign w:val="center"/>
          </w:tcPr>
          <w:p>
            <w:pPr>
              <w:spacing w:after="40"/>
            </w:pPr>
            <w:r>
              <w:rPr>
                <w:rFonts w:ascii="Noto Sans" w:hAnsi="Noto Sans" w:eastAsia="Noto Sans TC" w:cs="Noto Sans"/>
                <w:sz w:val="17"/>
              </w:rPr>
              <w:t>Leistung / Analyse</w:t>
            </w:r>
          </w:p>
        </w:tc>
        <w:tc>
          <w:tcPr>
            <w:tcW w:type="dxa" w:w="1949"/>
            <w:vAlign w:val="center"/>
          </w:tcPr>
          <w:p>
            <w:pPr>
              <w:spacing w:after="40"/>
            </w:pPr>
            <w:r>
              <w:rPr>
                <w:rFonts w:ascii="Noto Sans" w:hAnsi="Noto Sans" w:eastAsia="Noto Sans TC" w:cs="Noto Sans"/>
                <w:sz w:val="17"/>
              </w:rPr>
              <w:t>Besuchervolumen, Verweildauer auf der Seite, Traffic-Quellen, Marketing-Konversion und andere Analysen</w:t>
            </w:r>
          </w:p>
        </w:tc>
        <w:tc>
          <w:tcPr>
            <w:tcW w:type="dxa" w:w="1949"/>
            <w:vAlign w:val="center"/>
          </w:tcPr>
          <w:p>
            <w:pPr>
              <w:spacing w:after="40"/>
            </w:pPr>
            <w:r>
              <w:rPr>
                <w:rFonts w:ascii="Noto Sans" w:hAnsi="Noto Sans" w:eastAsia="Noto Sans TC" w:cs="Noto Sans"/>
                <w:sz w:val="17"/>
              </w:rPr>
              <w:t>Derzeit werden keine Analyse-Cookies von Drittanbietern verwendet</w:t>
            </w:r>
          </w:p>
        </w:tc>
        <w:tc>
          <w:tcPr>
            <w:tcW w:type="dxa" w:w="1949"/>
            <w:vAlign w:val="center"/>
          </w:tcPr>
          <w:p>
            <w:pPr>
              <w:spacing w:after="40"/>
            </w:pPr>
            <w:r>
              <w:rPr>
                <w:rFonts w:ascii="Noto Sans" w:hAnsi="Noto Sans" w:eastAsia="Noto Sans TC" w:cs="Noto Sans"/>
                <w:sz w:val="17"/>
              </w:rPr>
              <w:t>Nicht zutreffend</w:t>
            </w:r>
          </w:p>
        </w:tc>
        <w:tc>
          <w:tcPr>
            <w:tcW w:type="dxa" w:w="1949"/>
            <w:vAlign w:val="center"/>
          </w:tcPr>
          <w:p>
            <w:pPr>
              <w:spacing w:after="40"/>
            </w:pPr>
            <w:r>
              <w:rPr>
                <w:rFonts w:ascii="Noto Sans" w:hAnsi="Noto Sans" w:eastAsia="Noto Sans TC" w:cs="Noto Sans"/>
                <w:sz w:val="17"/>
              </w:rPr>
              <w:t>Falls in Zukunft aktiviert, beginnt die Implementierung mit einer Aktualisierung dieser Richtlinie und der Einhaltung anwendbarer Gesetze bezüglich Benutzerkontrollen</w:t>
            </w:r>
          </w:p>
        </w:tc>
      </w:tr>
      <w:tr>
        <w:trPr>
          <w:cantSplit/>
        </w:trPr>
        <w:tc>
          <w:tcPr>
            <w:tcW w:type="dxa" w:w="1949"/>
            <w:vAlign w:val="center"/>
          </w:tcPr>
          <w:p>
            <w:pPr>
              <w:spacing w:after="40"/>
            </w:pPr>
            <w:r>
              <w:rPr>
                <w:rFonts w:ascii="Noto Sans" w:hAnsi="Noto Sans" w:eastAsia="Noto Sans TC" w:cs="Noto Sans"/>
                <w:sz w:val="17"/>
              </w:rPr>
              <w:t>Werbung / Targeting</w:t>
            </w:r>
          </w:p>
        </w:tc>
        <w:tc>
          <w:tcPr>
            <w:tcW w:type="dxa" w:w="1949"/>
            <w:vAlign w:val="center"/>
          </w:tcPr>
          <w:p>
            <w:pPr>
              <w:spacing w:after="40"/>
            </w:pPr>
            <w:r>
              <w:rPr>
                <w:rFonts w:ascii="Noto Sans" w:hAnsi="Noto Sans" w:eastAsia="Noto Sans TC" w:cs="Noto Sans"/>
                <w:sz w:val="17"/>
              </w:rPr>
              <w:t>Cross-Site-Profilierung, Redirect-Werbung, interessenbasierte Werbung</w:t>
            </w:r>
          </w:p>
        </w:tc>
        <w:tc>
          <w:tcPr>
            <w:tcW w:type="dxa" w:w="1949"/>
            <w:vAlign w:val="center"/>
          </w:tcPr>
          <w:p>
            <w:pPr>
              <w:spacing w:after="40"/>
            </w:pPr>
            <w:r>
              <w:rPr>
                <w:rFonts w:ascii="Noto Sans" w:hAnsi="Noto Sans" w:eastAsia="Noto Sans TC" w:cs="Noto Sans"/>
                <w:sz w:val="17"/>
              </w:rPr>
              <w:t>Derzeit nicht in Verwendung</w:t>
            </w:r>
          </w:p>
        </w:tc>
        <w:tc>
          <w:tcPr>
            <w:tcW w:type="dxa" w:w="1949"/>
            <w:vAlign w:val="center"/>
          </w:tcPr>
          <w:p>
            <w:pPr>
              <w:spacing w:after="40"/>
            </w:pPr>
            <w:r>
              <w:rPr>
                <w:rFonts w:ascii="Noto Sans" w:hAnsi="Noto Sans" w:eastAsia="Noto Sans TC" w:cs="Noto Sans"/>
                <w:sz w:val="17"/>
              </w:rPr>
              <w:t>Nicht zutreffend</w:t>
            </w:r>
          </w:p>
        </w:tc>
        <w:tc>
          <w:tcPr>
            <w:tcW w:type="dxa" w:w="1949"/>
            <w:vAlign w:val="center"/>
          </w:tcPr>
          <w:p>
            <w:pPr>
              <w:spacing w:after="40"/>
            </w:pPr>
            <w:r>
              <w:rPr>
                <w:rFonts w:ascii="Noto Sans" w:hAnsi="Noto Sans" w:eastAsia="Noto Sans TC" w:cs="Noto Sans"/>
                <w:sz w:val="17"/>
              </w:rPr>
              <w:t>Derartige Cookies werden derzeit nicht verwendet</w:t>
            </w:r>
          </w:p>
        </w:tc>
      </w:tr>
      <w:tr>
        <w:trPr>
          <w:cantSplit/>
        </w:trPr>
        <w:tc>
          <w:tcPr>
            <w:tcW w:type="dxa" w:w="1949"/>
            <w:vAlign w:val="center"/>
          </w:tcPr>
          <w:p>
            <w:pPr>
              <w:spacing w:after="40"/>
            </w:pPr>
            <w:r>
              <w:rPr>
                <w:rFonts w:ascii="Noto Sans" w:hAnsi="Noto Sans" w:eastAsia="Noto Sans TC" w:cs="Noto Sans"/>
                <w:sz w:val="17"/>
              </w:rPr>
              <w:t>Soziale Medien / eingebettete Inhalte</w:t>
            </w:r>
          </w:p>
        </w:tc>
        <w:tc>
          <w:tcPr>
            <w:tcW w:type="dxa" w:w="1949"/>
            <w:vAlign w:val="center"/>
          </w:tcPr>
          <w:p>
            <w:pPr>
              <w:spacing w:after="40"/>
            </w:pPr>
            <w:r>
              <w:rPr>
                <w:rFonts w:ascii="Noto Sans" w:hAnsi="Noto Sans" w:eastAsia="Noto Sans TC" w:cs="Noto Sans"/>
                <w:sz w:val="17"/>
              </w:rPr>
              <w:t>Eingebettete Videos, Social-Sharing-Buttons und Drittanbieterkomponenten können Drittanbieter-Cookies auslösen</w:t>
            </w:r>
          </w:p>
        </w:tc>
        <w:tc>
          <w:tcPr>
            <w:tcW w:type="dxa" w:w="1949"/>
            <w:vAlign w:val="center"/>
          </w:tcPr>
          <w:p>
            <w:pPr>
              <w:spacing w:after="40"/>
            </w:pPr>
            <w:r>
              <w:rPr>
                <w:rFonts w:ascii="Noto Sans" w:hAnsi="Noto Sans" w:eastAsia="Noto Sans TC" w:cs="Noto Sans"/>
                <w:sz w:val="17"/>
              </w:rPr>
              <w:t>Die Standardeinstellung gilt für Standard-Exterlinks; falls Embedding in Zukunft eingeführt wird, erfolgt eine separate Bewertung</w:t>
            </w:r>
          </w:p>
        </w:tc>
        <w:tc>
          <w:tcPr>
            <w:tcW w:type="dxa" w:w="1949"/>
            <w:vAlign w:val="center"/>
          </w:tcPr>
          <w:p>
            <w:pPr>
              <w:spacing w:after="40"/>
            </w:pPr>
            <w:r>
              <w:rPr>
                <w:rFonts w:ascii="Noto Sans" w:hAnsi="Noto Sans" w:eastAsia="Noto Sans TC" w:cs="Noto Sans"/>
                <w:sz w:val="17"/>
              </w:rPr>
              <w:t>Hängt von Drittanbieterdiensten und gesetzlichen Anforderungen ab</w:t>
            </w:r>
          </w:p>
        </w:tc>
        <w:tc>
          <w:tcPr>
            <w:tcW w:type="dxa" w:w="1949"/>
            <w:vAlign w:val="center"/>
          </w:tcPr>
          <w:p>
            <w:pPr>
              <w:spacing w:after="40"/>
            </w:pPr>
            <w:r>
              <w:rPr>
                <w:rFonts w:ascii="Noto Sans" w:hAnsi="Noto Sans" w:eastAsia="Noto Sans TC" w:cs="Noto Sans"/>
                <w:sz w:val="17"/>
              </w:rPr>
              <w:t>Entscheidungen werden von den relevanten Dritten getroffen, und geeignete Hinweise oder Einwilligungen werden dort bereitgestellt, wo dies gesetzlich erforderlich ist</w:t>
            </w:r>
          </w:p>
        </w:tc>
      </w:tr>
    </w:tbl>
    <w:p>
      <w:pPr>
        <w:spacing w:after="40"/>
      </w:pPr>
    </w:p>
    <w:p>
      <w:pPr>
        <w:pStyle w:val="Heading1"/>
        <w:keepLines w:val="0"/>
      </w:pPr>
      <w:r>
        <w:rPr>
          <w:rFonts w:ascii="Noto Sans" w:hAnsi="Noto Sans" w:eastAsia="Noto Sans TC" w:cs="Noto Sans"/>
          <w:b w:val="0"/>
        </w:rPr>
        <w:t>4. Streng notwendige und Sicherheits-Cookies</w:t>
      </w:r>
    </w:p>
    <w:p>
      <w:pPr>
        <w:keepLines w:val="0"/>
      </w:pPr>
      <w:r>
        <w:rPr>
          <w:rFonts w:ascii="Noto Sans" w:hAnsi="Noto Sans" w:eastAsia="Noto Sans TC" w:cs="Noto Sans"/>
          <w:b w:val="0"/>
        </w:rPr>
        <w:t>Diese Cookies/ähnliche Technologien werden zur Bereitstellung von Kernfunktionalitäten verwendet, die Sie aktiv anfordern, oder zum Schutz der Sicherheit der Website, des Kontos und der Transaktionen. Bei vollständiger Blockierung können wesentliche Website-Funktionen möglicherweise nicht ordnungsgemäß funktionieren. Häufige Anwendungen umfassen:</w:t>
      </w:r>
    </w:p>
    <w:p>
      <w:pPr>
        <w:pStyle w:val="ListBullet"/>
        <w:keepLines w:val="0"/>
      </w:pPr>
      <w:r>
        <w:rPr>
          <w:rFonts w:ascii="Noto Sans" w:hAnsi="Noto Sans" w:eastAsia="Noto Sans TC" w:cs="Noto Sans"/>
          <w:b w:val="0"/>
        </w:rPr>
        <w:t>Identifizieren angemeldeter Sitzungen, Ermöglichen des Logins des DAWNBLOOM-Spielkontos auf der offiziellen Website und der DAWNBLOOM Community;</w:t>
      </w:r>
    </w:p>
    <w:p>
      <w:pPr>
        <w:pStyle w:val="ListBullet"/>
        <w:keepLines w:val="0"/>
      </w:pPr>
      <w:r>
        <w:rPr>
          <w:rFonts w:ascii="Noto Sans" w:hAnsi="Noto Sans" w:eastAsia="Noto Sans TC" w:cs="Noto Sans"/>
          <w:b w:val="0"/>
        </w:rPr>
        <w:t>Verhinderung von Cross-Site-Request-Fälschung, doppelten Übermittlungen, automatisierten Missbrauch, Brute-Force-Anmeldeversuchen und anderen Sicherheitsbedrohungen;</w:t>
      </w:r>
    </w:p>
    <w:p>
      <w:pPr>
        <w:pStyle w:val="ListBullet"/>
        <w:keepLines w:val="0"/>
      </w:pPr>
      <w:r>
        <w:rPr>
          <w:rFonts w:ascii="Noto Sans" w:hAnsi="Noto Sans" w:eastAsia="Noto Sans TC" w:cs="Noto Sans"/>
          <w:b w:val="0"/>
        </w:rPr>
        <w:t>Bevor Store-Transaktionen verfügbar sind, wird jede neue Speicherung des Bestellstatus zu dieser Richtlinie und der tatsächlichen Liste hinzugefügt; sie wird nicht als derzeit in Verwendung dargestellt.</w:t>
      </w:r>
    </w:p>
    <w:p>
      <w:pPr>
        <w:pStyle w:val="ListBullet"/>
        <w:keepLines w:val="0"/>
      </w:pPr>
      <w:r>
        <w:rPr>
          <w:rFonts w:ascii="Noto Sans" w:hAnsi="Noto Sans" w:eastAsia="Noto Sans TC" w:cs="Noto Sans"/>
          <w:b w:val="0"/>
        </w:rPr>
        <w:t>Aufrechterhaltung der erforderlichen Sitzungsstatus in Foren, Kontozentren und Kundenservice-Formularen;</w:t>
      </w:r>
    </w:p>
    <w:p>
      <w:pPr>
        <w:pStyle w:val="ListBullet"/>
        <w:keepLines w:val="0"/>
      </w:pPr>
      <w:r>
        <w:rPr>
          <w:rFonts w:ascii="Noto Sans" w:hAnsi="Noto Sans" w:eastAsia="Noto Sans TC" w:cs="Noto Sans"/>
          <w:b w:val="0"/>
        </w:rPr>
        <w:t>Aufzeichnung der Fertigstellung wesentlicher Sicherheitsaufgaben oder Schritte zur menschlichen Verifizierung, um wiederholte Verifizierungsaufrufe zu reduzieren.</w:t>
      </w:r>
    </w:p>
    <w:p>
      <w:pPr>
        <w:keepLines w:val="0"/>
      </w:pPr>
      <w:r>
        <w:rPr>
          <w:rFonts w:ascii="Noto Sans" w:hAnsi="Noto Sans" w:eastAsia="Noto Sans TC" w:cs="Noto Sans"/>
          <w:b w:val="0"/>
        </w:rPr>
        <w:t>DAWNBLOOM verwendet Cloudflare für Website-DNS/CDN und Sicherheit. Ob ein Cloudflare-Sicherheits-Cookie tatsächlich gesetzt wird, hängt vom Besuch und der aktivierten Schutzfunktion ab; prüfen Sie den Browserverlauf für diesen Besuch.</w:t>
      </w:r>
    </w:p>
    <w:p>
      <w:pPr>
        <w:pStyle w:val="Heading1"/>
        <w:keepLines w:val="0"/>
      </w:pPr>
      <w:r>
        <w:rPr>
          <w:rFonts w:ascii="Noto Sans" w:hAnsi="Noto Sans" w:eastAsia="Noto Sans TC" w:cs="Noto Sans"/>
          <w:b w:val="0"/>
        </w:rPr>
        <w:t>5. Sprach- und Präferenztechnologien</w:t>
      </w:r>
    </w:p>
    <w:p>
      <w:pPr>
        <w:keepLines w:val="0"/>
      </w:pPr>
      <w:r>
        <w:rPr>
          <w:rFonts w:ascii="Noto Sans" w:hAnsi="Noto Sans" w:eastAsia="Noto Sans TC" w:cs="Noto Sans"/>
          <w:b w:val="0"/>
        </w:rPr>
        <w:t>Die DAWNBLOOM Website bietet 20 Schnittstellensprachen. Wenn Sie eine Sprache auswählen, speichert die Website Ihre Wahl für Ihren nächsten Besuch im First-Party-Local-Speicher-Eintrag „zg-locale“. Dieser Eintrag wird nicht zur Erstellung von Werbeprofilen verwendet.</w:t>
      </w:r>
    </w:p>
    <w:p>
      <w:pPr>
        <w:keepLines w:val="0"/>
      </w:pPr>
      <w:r>
        <w:rPr>
          <w:rFonts w:ascii="Noto Sans" w:hAnsi="Noto Sans" w:eastAsia="Noto Sans TC" w:cs="Noto Sans"/>
          <w:b w:val="0"/>
        </w:rPr>
        <w:t>Die Stummschaltungseinstellung für Minispiele wird im Local Storage gespeichert, während die Musikposition im Session Storage des aktuellen Tabs gespeichert wird. Das Löschen dieser Elemente kann die Einstellung oder Position zurücksetzen.</w:t>
      </w:r>
    </w:p>
    <w:p>
      <w:pPr>
        <w:pStyle w:val="Heading1"/>
        <w:keepLines w:val="0"/>
      </w:pPr>
      <w:r>
        <w:rPr>
          <w:rFonts w:ascii="Noto Sans" w:hAnsi="Noto Sans" w:eastAsia="Noto Sans TC" w:cs="Noto Sans"/>
          <w:b w:val="0"/>
        </w:rPr>
        <w:t>6. Was wir derzeit nicht tun</w:t>
      </w:r>
    </w:p>
    <w:p>
      <w:pPr>
        <w:pStyle w:val="ListBullet"/>
        <w:keepLines w:val="0"/>
      </w:pPr>
      <w:r>
        <w:rPr>
          <w:rFonts w:ascii="Noto Sans" w:hAnsi="Noto Sans" w:eastAsia="Noto Sans TC" w:cs="Noto Sans"/>
          <w:b w:val="0"/>
        </w:rPr>
        <w:t>Wir schalten keine verhaltensbezogene Werbung von Drittanbietern auf der offiziellen Website oder im Spiel;</w:t>
      </w:r>
    </w:p>
    <w:p>
      <w:pPr>
        <w:pStyle w:val="ListBullet"/>
        <w:keepLines w:val="0"/>
      </w:pPr>
      <w:r>
        <w:rPr>
          <w:rFonts w:ascii="Noto Sans" w:hAnsi="Noto Sans" w:eastAsia="Noto Sans TC" w:cs="Noto Sans"/>
          <w:b w:val="0"/>
        </w:rPr>
        <w:t>Wir verwenden keine Marketing-Analysetools von Drittanbietern wie Meta Pixel oder Google Analytics;</w:t>
      </w:r>
    </w:p>
    <w:p>
      <w:pPr>
        <w:pStyle w:val="ListBullet"/>
        <w:keepLines w:val="0"/>
      </w:pPr>
      <w:r>
        <w:rPr>
          <w:rFonts w:ascii="Noto Sans" w:hAnsi="Noto Sans" w:eastAsia="Noto Sans TC" w:cs="Noto Sans"/>
          <w:b w:val="0"/>
        </w:rPr>
        <w:t>Wir verwenden keine Cookies zum Aufbau werberelevanter Profile über Websites hinweg;</w:t>
      </w:r>
    </w:p>
    <w:p>
      <w:pPr>
        <w:pStyle w:val="ListBullet"/>
        <w:keepLines w:val="0"/>
      </w:pPr>
      <w:r>
        <w:rPr>
          <w:rFonts w:ascii="Noto Sans" w:hAnsi="Noto Sans" w:eastAsia="Noto Sans TC" w:cs="Noto Sans"/>
          <w:b w:val="0"/>
        </w:rPr>
        <w:t>Wir verkaufen keine Cookie-Identifikatoren oder daraus abgeleitete personenbezogene Daten;</w:t>
      </w:r>
    </w:p>
    <w:p>
      <w:pPr>
        <w:pStyle w:val="ListBullet"/>
        <w:keepLines w:val="0"/>
      </w:pPr>
      <w:r>
        <w:rPr>
          <w:rFonts w:ascii="Noto Sans" w:hAnsi="Noto Sans" w:eastAsia="Noto Sans TC" w:cs="Noto Sans"/>
          <w:b w:val="0"/>
        </w:rPr>
        <w:t>Personenbezogene Daten werden nicht für kontextübergreifende Werbeverfolgung geteilt;</w:t>
      </w:r>
    </w:p>
    <w:p>
      <w:pPr>
        <w:pStyle w:val="ListBullet"/>
        <w:keepLines w:val="0"/>
      </w:pPr>
      <w:r>
        <w:rPr>
          <w:rFonts w:ascii="Noto Sans" w:hAnsi="Noto Sans" w:eastAsia="Noto Sans TC" w:cs="Noto Sans"/>
          <w:b w:val="0"/>
        </w:rPr>
        <w:t>Kein unter oder im Zusammenhang mit dem Cookie bereitgestellter Service wird einem Benutzer verweigert, der zukünftige, nicht wesentliche Cookies ablehnt, vorausgesetzt, dieser Service steht in keinem Zusammenhang mit dem betreffenden Cookie.</w:t>
      </w:r>
    </w:p>
    <w:p>
      <w:pPr>
        <w:keepLines w:val="0"/>
      </w:pPr>
      <w:r>
        <w:rPr>
          <w:rFonts w:ascii="Noto Sans" w:hAnsi="Noto Sans" w:eastAsia="Noto Sans TC" w:cs="Noto Sans"/>
          <w:b w:val="0"/>
        </w:rPr>
        <w:t>Wenn sich zukünftige Produktanforderungen ändern und wir planen, Funktionen wie Analyse, Werbung, A/B-Tests, Marketing-SDKs von Drittanbietern oder andere nicht wesentliche Tracking-Technologien hinzuzufügen, führen wir vor der Aktivierung solcher Funktionen eine neue Compliance-Bewertung durch, aktualisieren diese Richtlinie und die Datenschutzrichtlinie entsprechend und stellen gemäß gesetzlicher Anforderungen einen auffälligen Opt-in-, Opt-out- oder Widerrufsmechanismus bereit.</w:t>
      </w:r>
    </w:p>
    <w:p>
      <w:pPr>
        <w:pStyle w:val="Heading1"/>
        <w:keepLines w:val="0"/>
      </w:pPr>
      <w:r>
        <w:rPr>
          <w:rFonts w:ascii="Noto Sans" w:hAnsi="Noto Sans" w:eastAsia="Noto Sans TC" w:cs="Noto Sans"/>
          <w:b w:val="0"/>
        </w:rPr>
        <w:t>7. Login von Drittanbietern, Zahlungen und externe Seiten</w:t>
      </w:r>
    </w:p>
    <w:p>
      <w:pPr>
        <w:keepLines w:val="0"/>
      </w:pPr>
      <w:r>
        <w:rPr>
          <w:rFonts w:ascii="Noto Sans" w:hAnsi="Noto Sans" w:eastAsia="Noto Sans TC" w:cs="Noto Sans"/>
          <w:b w:val="0"/>
        </w:rPr>
        <w:t>Wenn Sie Drittanbieter-Login-Optionen wie Apple, Steam oder WeChat wählen oder Zahlungsmethoden wie WeChat Pay, Alipay, UnionPay, Visa, Mastercard, Apple Pay oder andere Drittanbieter-Zahlungssysteme nutzen, werden Sie möglicherweise zu Drittanbieter-Seiten weitergeleitet oder interagieren mit von Drittanbietern kontrollierten Komponenten. Solche Drittanbieter können gemäß ihren eigenen Regeln Cookies, Geräteinformationen oder andere Technologien zur Authentifizierung, Sicherheitsüberprüfung und Zahlungsabwicklung verwenden.</w:t>
      </w:r>
    </w:p>
    <w:p>
      <w:pPr>
        <w:keepLines w:val="0"/>
      </w:pPr>
      <w:r>
        <w:rPr>
          <w:rFonts w:ascii="Noto Sans" w:hAnsi="Noto Sans" w:eastAsia="Noto Sans TC" w:cs="Noto Sans"/>
          <w:b w:val="0"/>
        </w:rPr>
        <w:t>Nachdem Sie einem offiziellen Link zu Apple App Store, Google Play, Steam oder einem anderen identifizierten Shop gefolgt sind, kann dieser Shop Cookies gemäß seiner eigenen Richtlinie verwenden. Dritte Websites, die im Browser besucht werden, sowie Anbieter, die mit Mail verbunden sind, kontrollieren ebenfalls ihre eigenen Website-Daten.</w:t>
      </w:r>
    </w:p>
    <w:p>
      <w:pPr>
        <w:keepLines w:val="0"/>
      </w:pPr>
      <w:r>
        <w:rPr>
          <w:rFonts w:ascii="Noto Sans" w:hAnsi="Noto Sans" w:eastAsia="Noto Sans TC" w:cs="Noto Sans"/>
          <w:b w:val="0"/>
        </w:rPr>
        <w:t>Wir werden nicht behaupten, dass ein Cookie eines Dritten ein First-Party-Cookie von DAWNBLOOM darstellt, noch werden wir Datenverarbeitungsaktivitäten steuern, die von solchen Drittparteien in ihren unabhängigen Diensten durchgeführt werden. Bitte beachten Sie die Datenschutzrichtlinie und den Hinweis zu Cookies/Tracking-Technologien des jeweiligen Diensteanbieters für Details zu einer solchen Verarbeitung.</w:t>
      </w:r>
    </w:p>
    <w:p>
      <w:pPr>
        <w:pStyle w:val="Heading1"/>
        <w:keepLines w:val="0"/>
      </w:pPr>
      <w:r>
        <w:rPr>
          <w:rFonts w:ascii="Noto Sans" w:hAnsi="Noto Sans" w:eastAsia="Noto Sans TC" w:cs="Noto Sans"/>
          <w:b w:val="0"/>
        </w:rPr>
        <w:t>8. Ihre Cookie-Präferenzen</w:t>
      </w:r>
    </w:p>
    <w:p>
      <w:pPr>
        <w:keepLines w:val="0"/>
      </w:pPr>
      <w:r>
        <w:rPr>
          <w:rFonts w:ascii="Noto Sans" w:hAnsi="Noto Sans" w:eastAsia="Noto Sans TC" w:cs="Noto Sans"/>
          <w:b w:val="0"/>
        </w:rPr>
        <w:t>Sie können Cookies über Ihre Browsereinstellungen anzeigen, löschen, blockieren oder einschränken. Der spezifische Eintrag und die Terminologie können je nach Browser variieren und sollten gemäß der eigenen Hilfedokumentation des Browsers bestätigt werden.</w:t>
      </w:r>
    </w:p>
    <w:p>
      <w:pPr>
        <w:pStyle w:val="ListBullet"/>
        <w:keepLines w:val="0"/>
      </w:pPr>
      <w:r>
        <w:rPr>
          <w:rFonts w:ascii="Noto Sans" w:hAnsi="Noto Sans" w:eastAsia="Noto Sans TC" w:cs="Noto Sans"/>
          <w:b w:val="0"/>
        </w:rPr>
        <w:t>Das Löschen von Login-Cookies kann zum sofortigen Abmelden des Kontos führen;</w:t>
      </w:r>
    </w:p>
    <w:p>
      <w:pPr>
        <w:pStyle w:val="ListBullet"/>
        <w:keepLines w:val="0"/>
      </w:pPr>
      <w:r>
        <w:rPr>
          <w:rFonts w:ascii="Noto Sans" w:hAnsi="Noto Sans" w:eastAsia="Noto Sans TC" w:cs="Noto Sans"/>
          <w:b w:val="0"/>
        </w:rPr>
        <w:t>Das Deaktivieren streng notwendiger Cookies kann zu Anmeldefehlern, Unfähigkeit, Inhalte normal zu veröffentlichen, Unterbrechungen des Transaktionsflusses oder wiederholten Sicherheitsherausforderungen führen;</w:t>
      </w:r>
    </w:p>
    <w:p>
      <w:pPr>
        <w:pStyle w:val="ListBullet"/>
        <w:keepLines w:val="0"/>
      </w:pPr>
      <w:r>
        <w:rPr>
          <w:rFonts w:ascii="Noto Sans" w:hAnsi="Noto Sans" w:eastAsia="Noto Sans TC" w:cs="Noto Sans"/>
          <w:b w:val="0"/>
        </w:rPr>
        <w:t>Das Entfernen von Spracheinstellungen kann dazu führen, dass die offizielle Website auf ihre Standardsprache zurückfällt;</w:t>
      </w:r>
    </w:p>
    <w:p>
      <w:pPr>
        <w:pStyle w:val="ListBullet"/>
        <w:keepLines w:val="0"/>
      </w:pPr>
      <w:r>
        <w:rPr>
          <w:rFonts w:ascii="Noto Sans" w:hAnsi="Noto Sans" w:eastAsia="Noto Sans TC" w:cs="Noto Sans"/>
          <w:b w:val="0"/>
        </w:rPr>
        <w:t>Der „Private Browsing“- oder „Inkognito-Modus“ eines Browsers löscht typischerweise bestimmte gespeicherte Daten nach Ende der Sitzung, obwohl das genaue Verhalten vom Browser selbst bestimmt wird.</w:t>
      </w:r>
    </w:p>
    <w:p>
      <w:pPr>
        <w:keepLines w:val="0"/>
      </w:pPr>
      <w:r>
        <w:rPr>
          <w:rFonts w:ascii="Noto Sans" w:hAnsi="Noto Sans" w:eastAsia="Noto Sans TC" w:cs="Noto Sans"/>
          <w:b w:val="0"/>
        </w:rPr>
        <w:t>Falls wir in Zukunft nicht essentielle Cookies aktivieren, die eine vorherige Zustimmung erfordern, werden Benutzer in den entsprechenden Szenarien Entscheidungen über die Cookie-Einstellungs-Schnittstelle treffen können und diese später widerrufen. Der Widerruf der Zustimmung wirkt sich jedoch nicht auf frühere Verarbeitungen aus, die auf gültigen Rechtsgrundlagen durchgeführt wurden.</w:t>
      </w:r>
    </w:p>
    <w:p>
      <w:pPr>
        <w:pStyle w:val="Heading1"/>
        <w:keepLines w:val="0"/>
      </w:pPr>
      <w:r>
        <w:rPr>
          <w:rFonts w:ascii="Noto Sans" w:hAnsi="Noto Sans" w:eastAsia="Noto Sans TC" w:cs="Noto Sans"/>
          <w:b w:val="0"/>
        </w:rPr>
        <w:t>9. Erklärung zur Region Festlandchina</w:t>
      </w:r>
    </w:p>
    <w:p>
      <w:pPr>
        <w:keepLines w:val="0"/>
      </w:pPr>
      <w:r>
        <w:rPr>
          <w:rFonts w:ascii="Noto Sans" w:hAnsi="Noto Sans" w:eastAsia="Noto Sans TC" w:cs="Noto Sans"/>
          <w:b w:val="0"/>
        </w:rPr>
        <w:t>Für Benutzer in Festlandchina werden wir Informationen, die durch Cookies oder ähnliche Technologien erzeugt werden und mit identifizierten oder identifizierbaren natürlichen Personen verknüpft oder assoziiert werden können, gemäß Vorschriften wie dem Gesetz der Volksrepublik China zum Schutz personenbezogener Daten und den Vorschriften zur Verwaltung der Netzdatensicherheit behandeln. Wir halten uns an die Grundsätze der Gesetzmäßigkeit, Fairness, Notwendigkeit, Integrität, klaren Zwecks und minimaler Datenerfordernisse und geben Zwecke, Methoden, Arten und Aufbewahrungsregeln für solche Verarbeitungen öffentlich bekannt.</w:t>
      </w:r>
    </w:p>
    <w:p>
      <w:pPr>
        <w:keepLines w:val="0"/>
      </w:pPr>
      <w:r>
        <w:rPr>
          <w:rFonts w:ascii="Noto Sans" w:hAnsi="Noto Sans" w:eastAsia="Noto Sans TC" w:cs="Noto Sans"/>
          <w:b w:val="0"/>
        </w:rPr>
        <w:t>Zu technischen Zwecken, die zur Erfüllung Ihrer Beziehung zu unseren Diensten erforderlich sind, wie Anmeldung, Kontosicherheit und Bestellabwicklung, können wir Cookies oder ähnliche Technologien auf Grundlage vertraglicher Verpflichtungen oder gesetzlicher Pflichten verarbeiten, die von den geltenden Gesetzen erlaubt sind; wenn ein Cookie oder eine ähnliche Technologie nach geltendem Recht Ihre vorherige Zustimmung erfordert, werden wir diese Zustimmung nach Bereitstellung einer vollständigen Mitteilung einholen und Ihnen auch einen Mechanismus zur Rücknahme dieser Zustimmung bereitstellen.</w:t>
      </w:r>
    </w:p>
    <w:p>
      <w:pPr>
        <w:keepLines w:val="0"/>
      </w:pPr>
      <w:r>
        <w:rPr>
          <w:rFonts w:ascii="Noto Sans" w:hAnsi="Noto Sans" w:eastAsia="Noto Sans TC" w:cs="Noto Sans"/>
          <w:b w:val="0"/>
        </w:rPr>
        <w:t>Falls wir nachträglich Cookie-Identifikatoren oder Verhaltensdaten zu Zwecken wie der unabhängigen Identifizierung, Profilbildung oder anderen Verwendungen an Dritte weitergeben, werden wir die Anforderungen für vorherige Benachrichtigung, separate Zustimmung, Auftragsverarbeitung und grenzüberschreitende Übertragungen vor der Implementierung erneut prüfen und uns nicht ausschließlich auf die allgemeine Genehmigung in diesen Bedingungen stützen.</w:t>
      </w:r>
    </w:p>
    <w:p>
      <w:pPr>
        <w:pStyle w:val="Heading1"/>
        <w:keepLines w:val="0"/>
      </w:pPr>
      <w:r>
        <w:rPr>
          <w:rFonts w:ascii="Noto Sans" w:hAnsi="Noto Sans" w:eastAsia="Noto Sans TC" w:cs="Noto Sans"/>
          <w:b w:val="0"/>
        </w:rPr>
        <w:t>10. Erklärung zur Region der Vereinigten Staaten</w:t>
      </w:r>
    </w:p>
    <w:p>
      <w:pPr>
        <w:keepLines w:val="0"/>
      </w:pPr>
      <w:r>
        <w:rPr>
          <w:rFonts w:ascii="Noto Sans" w:hAnsi="Noto Sans" w:eastAsia="Noto Sans TC" w:cs="Noto Sans"/>
          <w:b w:val="0"/>
        </w:rPr>
        <w:t>Das US-Datenschutzrahmenwerk wird gemeinsam durch Bundes- und Landesgesetze gebildet. Falls DAWNBLOOM zukünftig die Anwendbarkeitsschwellen des kalifornischen CCPA/CPRA oder anderer landesspezifischer Datenschutzgesetze erreicht, stellen wir gesetzlich vorgeschriebene Rechte auf Zugriff, Berichtigung, Löschung und Widerspruch bereit.</w:t>
      </w:r>
    </w:p>
    <w:p>
      <w:pPr>
        <w:keepLines w:val="0"/>
      </w:pPr>
      <w:r>
        <w:rPr>
          <w:rFonts w:ascii="Noto Sans" w:hAnsi="Noto Sans" w:eastAsia="Noto Sans TC" w:cs="Noto Sans"/>
          <w:b w:val="0"/>
        </w:rPr>
        <w:t>Nach dem aktuellen Produktdesign verkauft DAWNBLOOM keine personenbezogenen Daten und teilt diese nicht für kontextübergreifende Werbung. Daher gibt es derzeit keine „Verkaufs- oder Freigabeaktivitäten“ auf Basis von Werbe-Cookies. Sollten sich zukünftige Praktiken ändern, aktualisieren wir diese Richtlinie und bieten, falls zutreffend, einen Eintrag „Ihre Privatsphäre-Einstellungen / Nicht verkaufen oder freigeben“ an sowie erkennen rechtsgültige Widerspruchs-Signale an (z. B. Global Privacy Control, soweit anwendbar).</w:t>
      </w:r>
    </w:p>
    <w:p>
      <w:pPr>
        <w:pStyle w:val="Heading1"/>
        <w:keepLines w:val="0"/>
      </w:pPr>
      <w:r>
        <w:rPr>
          <w:rFonts w:ascii="Noto Sans" w:hAnsi="Noto Sans" w:eastAsia="Noto Sans TC" w:cs="Noto Sans"/>
          <w:b w:val="0"/>
        </w:rPr>
        <w:t>11. Spezifische Bestimmungen für Japan</w:t>
      </w:r>
    </w:p>
    <w:p>
      <w:pPr>
        <w:keepLines w:val="0"/>
      </w:pPr>
      <w:r>
        <w:rPr>
          <w:rFonts w:ascii="Noto Sans" w:hAnsi="Noto Sans" w:eastAsia="Noto Sans TC" w:cs="Noto Sans"/>
          <w:b w:val="0"/>
        </w:rPr>
        <w:t>Nach dem japanischen Gesetz zum Schutz personenbezogener Daten (APPI) können Geräte-Identifikatoren wie Cookies unter bestimmten Umständen als personenbeziehbare Informationen (personally referable information) eingestuft werden. Wenn sie leicht mit anderen Informationen kombiniert werden können, um eine bestimmte Person zu identifizieren, können sie auch als persönliche Informationen (personal information) behandelt werden.</w:t>
      </w:r>
    </w:p>
    <w:p>
      <w:pPr>
        <w:keepLines w:val="0"/>
      </w:pPr>
      <w:r>
        <w:rPr>
          <w:rFonts w:ascii="Noto Sans" w:hAnsi="Noto Sans" w:eastAsia="Noto Sans TC" w:cs="Noto Sans"/>
          <w:b w:val="0"/>
        </w:rPr>
        <w:t>Derzeit stellen wir keine Cookie-Identifikatoren an Werbekooperationen bereit, um diese mit den von ihnen gespeicherten personenbezogenen Daten zu kombinieren und Werbeprofile zu erstellen. Falls wir in Zukunft personenbeziehbare Informationen (personally referable information) an Dritte weitergeben und erwarten, dass der Empfänger sie als personenbezogene Daten erwirbt, werden wir gemäß den Regeln der japanischen Kommission zum Schutz personenbezogener Daten die erforderliche Einwilligung der betroffenen Person sowie die damit verbundenen Bedingungen bestätigen. Falls ein ausländischer Dritter beteiligt ist, bewerten wir zudem die entsprechenden grenzüberschreitenden Anforderungen.</w:t>
      </w:r>
    </w:p>
    <w:p>
      <w:pPr>
        <w:pStyle w:val="Heading1"/>
        <w:keepLines w:val="0"/>
      </w:pPr>
      <w:r>
        <w:rPr>
          <w:rFonts w:ascii="Noto Sans" w:hAnsi="Noto Sans" w:eastAsia="Noto Sans TC" w:cs="Noto Sans"/>
          <w:b w:val="0"/>
        </w:rPr>
        <w:t>12. Nutzer unter 18 Jahren</w:t>
      </w:r>
    </w:p>
    <w:p>
      <w:pPr>
        <w:keepLines w:val="0"/>
      </w:pPr>
      <w:r>
        <w:rPr>
          <w:rFonts w:ascii="Noto Sans" w:hAnsi="Noto Sans" w:eastAsia="Noto Sans TC" w:cs="Noto Sans"/>
          <w:b w:val="0"/>
        </w:rPr>
        <w:t>DAWNBLOOM-Spielkonten, die Spielgemeinschaft und damit verbundene Spieldienste erfordern derzeit, dass Nutzer mindestens 18 Jahre alt sind. Öffentliche Seiten und der DAWNBLOOM Browser teilen diese universelle Altersbeschränkung für Spiele nicht. Wir verwenden keine Website-Cookies oder ähnliche Technologien, um Marketingprofile von Minderjährigen zu erstellen; andere Verarbeitungsvorgänge im Zusammenhang mit Minderjährigen werden im Rahmen der einheitlichen Datenschutzrichtlinie und des anwendbaren Rechts bewertet.</w:t>
      </w:r>
    </w:p>
    <w:p>
      <w:pPr>
        <w:pStyle w:val="Heading1"/>
        <w:keepLines w:val="0"/>
      </w:pPr>
      <w:r>
        <w:rPr>
          <w:rFonts w:ascii="Noto Sans" w:hAnsi="Noto Sans" w:eastAsia="Noto Sans TC" w:cs="Noto Sans"/>
          <w:b w:val="0"/>
        </w:rPr>
        <w:t>13. Cookie-Liste und Aktualisierungsmechanismus</w:t>
      </w:r>
    </w:p>
    <w:p>
      <w:pPr>
        <w:keepLines w:val="0"/>
      </w:pPr>
      <w:r>
        <w:rPr>
          <w:rFonts w:ascii="Noto Sans" w:hAnsi="Noto Sans" w:eastAsia="Noto Sans TC" w:cs="Noto Sans"/>
          <w:b w:val="0"/>
        </w:rPr>
        <w:t>Die folgende Liste umfasst First-Party-Browserspeicher, der in der aktuellen Website und dem Code des Kontodienstes identifiziert wurde. Tatsächliche Elemente variieren je nach Seite und Sitzung. Sicherheits-/CDN-Dienste können zusätzliche erforderliche Cookies gemäß dem Besuch setzen; prüfen Sie den Browserverlauf für diesen Besuch. Speicher für nicht verfügbare Shop-Transaktionen wird nicht aufgeführt, da er derzeit nicht verwendet wird.</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Noto Sans" w:hAnsi="Noto Sans" w:eastAsia="Noto Sans TC" w:cs="Noto Sans"/>
                <w:b/>
                <w:sz w:val="17"/>
              </w:rPr>
              <w:t>Name und Methode</w:t>
            </w:r>
          </w:p>
        </w:tc>
        <w:tc>
          <w:tcPr>
            <w:tcW w:type="dxa" w:w="2436"/>
            <w:vAlign w:val="center"/>
            <w:shd w:fill="DCE8F7"/>
          </w:tcPr>
          <w:p>
            <w:pPr>
              <w:keepNext/>
              <w:spacing w:after="40"/>
            </w:pPr>
            <w:r>
              <w:rPr>
                <w:rFonts w:ascii="Noto Sans" w:hAnsi="Noto Sans" w:eastAsia="Noto Sans TC" w:cs="Noto Sans"/>
                <w:b/>
                <w:sz w:val="17"/>
              </w:rPr>
              <w:t>Anbieter und Kontext</w:t>
            </w:r>
          </w:p>
        </w:tc>
        <w:tc>
          <w:tcPr>
            <w:tcW w:type="dxa" w:w="2436"/>
            <w:vAlign w:val="center"/>
            <w:shd w:fill="DCE8F7"/>
          </w:tcPr>
          <w:p>
            <w:pPr>
              <w:keepNext/>
              <w:spacing w:after="40"/>
            </w:pPr>
            <w:r>
              <w:rPr>
                <w:rFonts w:ascii="Noto Sans" w:hAnsi="Noto Sans" w:eastAsia="Noto Sans TC" w:cs="Noto Sans"/>
                <w:b/>
                <w:sz w:val="17"/>
              </w:rPr>
              <w:t>Zweck und Kategorie</w:t>
            </w:r>
          </w:p>
        </w:tc>
        <w:tc>
          <w:tcPr>
            <w:tcW w:type="dxa" w:w="2436"/>
            <w:vAlign w:val="center"/>
            <w:shd w:fill="DCE8F7"/>
          </w:tcPr>
          <w:p>
            <w:pPr>
              <w:keepNext/>
              <w:spacing w:after="40"/>
            </w:pPr>
            <w:r>
              <w:rPr>
                <w:rFonts w:ascii="Noto Sans" w:hAnsi="Noto Sans" w:eastAsia="Noto Sans TC" w:cs="Noto Sans"/>
                <w:b/>
                <w:sz w:val="17"/>
              </w:rPr>
              <w:t>Browser-Aufbewahrung</w:t>
            </w:r>
          </w:p>
        </w:tc>
      </w:tr>
      <w:tr>
        <w:trPr>
          <w:cantSplit/>
        </w:trPr>
        <w:tc>
          <w:tcPr>
            <w:tcW w:type="dxa" w:w="2436"/>
            <w:vAlign w:val="center"/>
          </w:tcPr>
          <w:p>
            <w:pPr>
              <w:spacing w:after="40"/>
            </w:pPr>
            <w:r>
              <w:rPr>
                <w:rFonts w:ascii="Noto Sans" w:hAnsi="Noto Sans" w:eastAsia="Noto Sans TC" w:cs="Noto Sans"/>
                <w:sz w:val="17"/>
              </w:rPr>
              <w:t>zg-locale · Local Storage</w:t>
            </w:r>
          </w:p>
        </w:tc>
        <w:tc>
          <w:tcPr>
            <w:tcW w:type="dxa" w:w="2436"/>
            <w:vAlign w:val="center"/>
          </w:tcPr>
          <w:p>
            <w:pPr>
              <w:spacing w:after="40"/>
            </w:pPr>
            <w:r>
              <w:rPr>
                <w:rFonts w:ascii="Noto Sans" w:hAnsi="Noto Sans" w:eastAsia="Noto Sans TC" w:cs="Noto Sans"/>
                <w:sz w:val="17"/>
              </w:rPr>
              <w:t>DAWNBLOOM Website · Sprachauswahl/Startseite</w:t>
            </w:r>
          </w:p>
        </w:tc>
        <w:tc>
          <w:tcPr>
            <w:tcW w:type="dxa" w:w="2436"/>
            <w:vAlign w:val="center"/>
          </w:tcPr>
          <w:p>
            <w:pPr>
              <w:spacing w:after="40"/>
            </w:pPr>
            <w:r>
              <w:rPr>
                <w:rFonts w:ascii="Noto Sans" w:hAnsi="Noto Sans" w:eastAsia="Noto Sans TC" w:cs="Noto Sans"/>
                <w:sz w:val="17"/>
              </w:rPr>
              <w:t>Website-Sprache merken; funktionale Präferenz</w:t>
            </w:r>
          </w:p>
        </w:tc>
        <w:tc>
          <w:tcPr>
            <w:tcW w:type="dxa" w:w="2436"/>
            <w:vAlign w:val="center"/>
          </w:tcPr>
          <w:p>
            <w:pPr>
              <w:spacing w:after="40"/>
            </w:pPr>
            <w:r>
              <w:rPr>
                <w:rFonts w:ascii="Noto Sans" w:hAnsi="Noto Sans" w:eastAsia="Noto Sans TC" w:cs="Noto Sans"/>
                <w:sz w:val="17"/>
              </w:rPr>
              <w:t>Bis der Benutzer es löscht oder sich der Site-Code ändert</w:t>
            </w:r>
          </w:p>
        </w:tc>
      </w:tr>
      <w:tr>
        <w:trPr>
          <w:cantSplit/>
        </w:trPr>
        <w:tc>
          <w:tcPr>
            <w:tcW w:type="dxa" w:w="2436"/>
            <w:vAlign w:val="center"/>
          </w:tcPr>
          <w:p>
            <w:pPr>
              <w:spacing w:after="40"/>
            </w:pPr>
            <w:r>
              <w:rPr>
                <w:rFonts w:ascii="Noto Sans" w:hAnsi="Noto Sans" w:eastAsia="Noto Sans TC" w:cs="Noto Sans"/>
                <w:sz w:val="17"/>
              </w:rPr>
              <w:t>zg-community-csrf · Session Storage</w:t>
            </w:r>
          </w:p>
        </w:tc>
        <w:tc>
          <w:tcPr>
            <w:tcW w:type="dxa" w:w="2436"/>
            <w:vAlign w:val="center"/>
          </w:tcPr>
          <w:p>
            <w:pPr>
              <w:spacing w:after="40"/>
            </w:pPr>
            <w:r>
              <w:rPr>
                <w:rFonts w:ascii="Noto Sans" w:hAnsi="Noto Sans" w:eastAsia="Noto Sans TC" w:cs="Noto Sans"/>
                <w:sz w:val="17"/>
              </w:rPr>
              <w:t>DAWNBLOOM Community/Kontowiederherstellung</w:t>
            </w:r>
          </w:p>
        </w:tc>
        <w:tc>
          <w:tcPr>
            <w:tcW w:type="dxa" w:w="2436"/>
            <w:vAlign w:val="center"/>
          </w:tcPr>
          <w:p>
            <w:pPr>
              <w:spacing w:after="40"/>
            </w:pPr>
            <w:r>
              <w:rPr>
                <w:rFonts w:ascii="Noto Sans" w:hAnsi="Noto Sans" w:eastAsia="Noto Sans TC" w:cs="Noto Sans"/>
                <w:sz w:val="17"/>
              </w:rPr>
              <w:t>Ein CSRF-Anfragekennzeichen in der Sitzung beibehalten; erforderliche Sicherheit</w:t>
            </w:r>
          </w:p>
        </w:tc>
        <w:tc>
          <w:tcPr>
            <w:tcW w:type="dxa" w:w="2436"/>
            <w:vAlign w:val="center"/>
          </w:tcPr>
          <w:p>
            <w:pPr>
              <w:spacing w:after="40"/>
            </w:pPr>
            <w:r>
              <w:rPr>
                <w:rFonts w:ascii="Noto Sans" w:hAnsi="Noto Sans" w:eastAsia="Noto Sans TC" w:cs="Noto Sans"/>
                <w:sz w:val="17"/>
              </w:rPr>
              <w:t>Bis die aktuelle Browsertab-Sitzung endet</w:t>
            </w:r>
          </w:p>
        </w:tc>
      </w:tr>
      <w:tr>
        <w:trPr>
          <w:cantSplit/>
        </w:trPr>
        <w:tc>
          <w:tcPr>
            <w:tcW w:type="dxa" w:w="2436"/>
            <w:vAlign w:val="center"/>
          </w:tcPr>
          <w:p>
            <w:pPr>
              <w:spacing w:after="40"/>
            </w:pPr>
            <w:r>
              <w:rPr>
                <w:rFonts w:ascii="Noto Sans" w:hAnsi="Noto Sans" w:eastAsia="Noto Sans TC" w:cs="Noto Sans"/>
                <w:sz w:val="17"/>
              </w:rPr>
              <w:t>dawnbloom_web_session / clw_community_session · Cookie</w:t>
            </w:r>
          </w:p>
        </w:tc>
        <w:tc>
          <w:tcPr>
            <w:tcW w:type="dxa" w:w="2436"/>
            <w:vAlign w:val="center"/>
          </w:tcPr>
          <w:p>
            <w:pPr>
              <w:spacing w:after="40"/>
            </w:pPr>
            <w:r>
              <w:rPr>
                <w:rFonts w:ascii="Noto Sans" w:hAnsi="Noto Sans" w:eastAsia="Noto Sans TC" w:cs="Noto Sans"/>
                <w:sz w:val="17"/>
              </w:rPr>
              <w:t>DAWNBLOOM Kontodienst · nach Single Sign-On</w:t>
            </w:r>
          </w:p>
        </w:tc>
        <w:tc>
          <w:tcPr>
            <w:tcW w:type="dxa" w:w="2436"/>
            <w:vAlign w:val="center"/>
          </w:tcPr>
          <w:p>
            <w:pPr>
              <w:spacing w:after="40"/>
            </w:pPr>
            <w:r>
              <w:rPr>
                <w:rFonts w:ascii="Noto Sans" w:hAnsi="Noto Sans" w:eastAsia="Noto Sans TC" w:cs="Noto Sans"/>
                <w:sz w:val="17"/>
              </w:rPr>
              <w:t>Konto- und Community-Login aufrechterhalten; erforderliche Funktion und Sicherheit. Secure, HttpOnly, SameSite=Strict</w:t>
            </w:r>
          </w:p>
        </w:tc>
        <w:tc>
          <w:tcPr>
            <w:tcW w:type="dxa" w:w="2436"/>
            <w:vAlign w:val="center"/>
          </w:tcPr>
          <w:p>
            <w:pPr>
              <w:spacing w:after="40"/>
            </w:pPr>
            <w:r>
              <w:rPr>
                <w:rFonts w:ascii="Noto Sans" w:hAnsi="Noto Sans" w:eastAsia="Noto Sans TC" w:cs="Noto Sans"/>
                <w:sz w:val="17"/>
              </w:rPr>
              <w:t>Browser-Sitzungs-Cookies; Serverseitige Sitzungen haben ihre eigene Ablaufzeit</w:t>
            </w:r>
          </w:p>
        </w:tc>
      </w:tr>
      <w:tr>
        <w:trPr>
          <w:cantSplit/>
        </w:trPr>
        <w:tc>
          <w:tcPr>
            <w:tcW w:type="dxa" w:w="2436"/>
            <w:vAlign w:val="center"/>
          </w:tcPr>
          <w:p>
            <w:pPr>
              <w:spacing w:after="40"/>
            </w:pPr>
            <w:r>
              <w:rPr>
                <w:rFonts w:ascii="Noto Sans" w:hAnsi="Noto Sans" w:eastAsia="Noto Sans TC" w:cs="Noto Sans"/>
                <w:sz w:val="17"/>
              </w:rPr>
              <w:t>dawnbloom-minigame-muted · Local Storage</w:t>
            </w:r>
          </w:p>
        </w:tc>
        <w:tc>
          <w:tcPr>
            <w:tcW w:type="dxa" w:w="2436"/>
            <w:vAlign w:val="center"/>
          </w:tcPr>
          <w:p>
            <w:pPr>
              <w:spacing w:after="40"/>
            </w:pPr>
            <w:r>
              <w:rPr>
                <w:rFonts w:ascii="Noto Sans" w:hAnsi="Noto Sans" w:eastAsia="Noto Sans TC" w:cs="Noto Sans"/>
                <w:sz w:val="17"/>
              </w:rPr>
              <w:t>DAWNBLOOM-Minispiele</w:t>
            </w:r>
          </w:p>
        </w:tc>
        <w:tc>
          <w:tcPr>
            <w:tcW w:type="dxa" w:w="2436"/>
            <w:vAlign w:val="center"/>
          </w:tcPr>
          <w:p>
            <w:pPr>
              <w:spacing w:after="40"/>
            </w:pPr>
            <w:r>
              <w:rPr>
                <w:rFonts w:ascii="Noto Sans" w:hAnsi="Noto Sans" w:eastAsia="Noto Sans TC" w:cs="Noto Sans"/>
                <w:sz w:val="17"/>
              </w:rPr>
              <w:t>Stummschaltungseinstellung merken; funktional</w:t>
            </w:r>
          </w:p>
        </w:tc>
        <w:tc>
          <w:tcPr>
            <w:tcW w:type="dxa" w:w="2436"/>
            <w:vAlign w:val="center"/>
          </w:tcPr>
          <w:p>
            <w:pPr>
              <w:spacing w:after="40"/>
            </w:pPr>
            <w:r>
              <w:rPr>
                <w:rFonts w:ascii="Noto Sans" w:hAnsi="Noto Sans" w:eastAsia="Noto Sans TC" w:cs="Noto Sans"/>
                <w:sz w:val="17"/>
              </w:rPr>
              <w:t>Bis der Benutzer es löscht oder sich der Site-Code ändert</w:t>
            </w:r>
          </w:p>
        </w:tc>
      </w:tr>
      <w:tr>
        <w:trPr>
          <w:cantSplit/>
        </w:trPr>
        <w:tc>
          <w:tcPr>
            <w:tcW w:type="dxa" w:w="2436"/>
            <w:vAlign w:val="center"/>
          </w:tcPr>
          <w:p>
            <w:pPr>
              <w:spacing w:after="40"/>
            </w:pPr>
            <w:r>
              <w:rPr>
                <w:rFonts w:ascii="Noto Sans" w:hAnsi="Noto Sans" w:eastAsia="Noto Sans TC" w:cs="Noto Sans"/>
                <w:sz w:val="17"/>
              </w:rPr>
              <w:t>Musikposition des Minispiels · Sitzungsspeicher</w:t>
            </w:r>
          </w:p>
        </w:tc>
        <w:tc>
          <w:tcPr>
            <w:tcW w:type="dxa" w:w="2436"/>
            <w:vAlign w:val="center"/>
          </w:tcPr>
          <w:p>
            <w:pPr>
              <w:spacing w:after="40"/>
            </w:pPr>
            <w:r>
              <w:rPr>
                <w:rFonts w:ascii="Noto Sans" w:hAnsi="Noto Sans" w:eastAsia="Noto Sans TC" w:cs="Noto Sans"/>
                <w:sz w:val="17"/>
              </w:rPr>
              <w:t>DAWNBLOOM-Minispiele</w:t>
            </w:r>
          </w:p>
        </w:tc>
        <w:tc>
          <w:tcPr>
            <w:tcW w:type="dxa" w:w="2436"/>
            <w:vAlign w:val="center"/>
          </w:tcPr>
          <w:p>
            <w:pPr>
              <w:spacing w:after="40"/>
            </w:pPr>
            <w:r>
              <w:rPr>
                <w:rFonts w:ascii="Noto Sans" w:hAnsi="Noto Sans" w:eastAsia="Noto Sans TC" w:cs="Noto Sans"/>
                <w:sz w:val="17"/>
              </w:rPr>
              <w:t>Musik im selben Tab fortsetzen; funktional</w:t>
            </w:r>
          </w:p>
        </w:tc>
        <w:tc>
          <w:tcPr>
            <w:tcW w:type="dxa" w:w="2436"/>
            <w:vAlign w:val="center"/>
          </w:tcPr>
          <w:p>
            <w:pPr>
              <w:spacing w:after="40"/>
            </w:pPr>
            <w:r>
              <w:rPr>
                <w:rFonts w:ascii="Noto Sans" w:hAnsi="Noto Sans" w:eastAsia="Noto Sans TC" w:cs="Noto Sans"/>
                <w:sz w:val="17"/>
              </w:rPr>
              <w:t>Bis die aktuelle Browsertab-Sitzung endet</w:t>
            </w:r>
          </w:p>
        </w:tc>
      </w:tr>
    </w:tbl>
    <w:p>
      <w:pPr>
        <w:spacing w:after="40"/>
      </w:pPr>
    </w:p>
    <w:p>
      <w:pPr>
        <w:keepLines w:val="0"/>
      </w:pPr>
      <w:r>
        <w:rPr>
          <w:rFonts w:ascii="Noto Sans" w:hAnsi="Noto Sans" w:eastAsia="Noto Sans TC" w:cs="Noto Sans"/>
          <w:b w:val="0"/>
        </w:rPr>
        <w:t>Die Dauer von Cloudflare-Sicherheits-Cookies und deren Erscheinen hängt von der tatsächlichen Sicherheitskonfiguration und dem Besuch ab; der Quellcode kann nicht feststellen, dass sie bei jedem Besuch erscheinen. Jede neue nicht wesentliche Analyse- oder Werbew Technologie erfordert zunächst eine Aktualisierung dieser Liste und der geltenden Auswahlmöglichkeiten.</w:t>
      </w:r>
    </w:p>
    <w:p>
      <w:pPr>
        <w:pStyle w:val="Heading1"/>
        <w:keepLines w:val="0"/>
      </w:pPr>
      <w:r>
        <w:rPr>
          <w:rFonts w:ascii="Noto Sans" w:hAnsi="Noto Sans" w:eastAsia="Noto Sans TC" w:cs="Noto Sans"/>
          <w:b w:val="0"/>
        </w:rPr>
        <w:t>14. Kontaktieren Sie uns</w:t>
      </w:r>
    </w:p>
    <w:p>
      <w:pPr>
        <w:keepLines w:val="0"/>
      </w:pPr>
      <w:r>
        <w:rPr>
          <w:rFonts w:ascii="Noto Sans" w:hAnsi="Noto Sans" w:eastAsia="Noto Sans TC" w:cs="Noto Sans"/>
          <w:b w:val="0"/>
        </w:rPr>
        <w:t>Wenn Sie Fragen zu Cookies, ähnlichen Technologien oder Datenschutzpräferenzen haben, können Sie uns über die folgenden Kanäle kontaktieren:</w:t>
      </w:r>
    </w:p>
    <w:p>
      <w:pPr>
        <w:keepLines w:val="0"/>
      </w:pPr>
      <w:r>
        <w:rPr>
          <w:rFonts w:ascii="Noto Sans" w:hAnsi="Noto Sans" w:eastAsia="Noto Sans TC" w:cs="Noto Sans"/>
          <w:b w:val="0"/>
        </w:rPr>
        <w:t xml:space="preserve">Rechtliches, Urheberrecht und Datenschutz: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Allgemeiner Spieler-Support: </w:t>
      </w:r>
      <w:hyperlink r:id="rId13">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Offizielle Website: </w:t>
      </w:r>
      <w:hyperlink r:id="rId14">
        <w:r>
          <w:rPr>
            <w:rFonts w:ascii="Noto Sans" w:hAnsi="Noto Sans" w:eastAsia="Noto Sans TC"/>
            <w:b w:val="0"/>
          </w:rPr>
          <w:t xml:space="preserve">https://dawnbloom.net</w:t>
        </w:r>
      </w:hyperlink>
    </w:p>
    <w:p>
      <w:pPr>
        <w:keepLines w:val="0"/>
      </w:pPr>
      <w:r>
        <w:rPr>
          <w:rFonts w:ascii="Noto Sans" w:hAnsi="Noto Sans" w:eastAsia="Noto Sans TC" w:cs="Noto Sans"/>
          <w:b w:val="0"/>
        </w:rPr>
        <w:t>Betreiber / Website-Diensteanbieter: Shanghai Zhuiguang Zhichuang Cultural Media Co., Ltd. (englischer öffentlicher Name: SHANGHAI LUMIREALM CREATIVE MEDIA CO., LTD.)</w:t>
      </w:r>
    </w:p>
    <w:p>
      <w:pPr>
        <w:keepLines w:val="0"/>
      </w:pPr>
      <w:r>
        <w:rPr>
          <w:rFonts w:ascii="Noto Sans" w:hAnsi="Noto Sans" w:eastAsia="Noto Sans TC" w:cs="Noto Sans"/>
          <w:b w:val="0"/>
        </w:rPr>
        <w:t>Betriebsadresse / Offizielle Kontaktadresse: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DAWNBLOOM-Cookie- und ähnliche Technologien-Richtlinie</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