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Nutzungsbedingungen für DAWNBLOOM AI</w:t>
      </w:r>
    </w:p>
    <w:p>
      <w:pPr>
        <w:keepLines w:val="0"/>
      </w:pPr>
      <w:r>
        <w:rPr>
          <w:rFonts w:ascii="Noto Sans" w:hAnsi="Noto Sans" w:eastAsia="Noto Sans TC" w:cs="Noto Sans"/>
          <w:b w:val="0"/>
        </w:rPr>
        <w:t>Version: V8</w:t>
      </w:r>
    </w:p>
    <w:p>
      <w:pPr>
        <w:keepLines w:val="0"/>
      </w:pPr>
      <w:r>
        <w:rPr>
          <w:rFonts w:ascii="Noto Sans" w:hAnsi="Noto Sans" w:eastAsia="Noto Sans TC" w:cs="Noto Sans"/>
          <w:b w:val="0"/>
        </w:rPr>
        <w:t>Überarbeitet am: 10. Oktober 2026</w:t>
      </w:r>
    </w:p>
    <w:p>
      <w:pPr>
        <w:keepLines w:val="0"/>
      </w:pPr>
      <w:r>
        <w:rPr>
          <w:rFonts w:ascii="Noto Sans" w:hAnsi="Noto Sans" w:eastAsia="Noto Sans TC" w:cs="Noto Sans"/>
          <w:b w:val="0"/>
        </w:rPr>
        <w:t>Gültig ab: 10. Oktober 2026</w:t>
      </w:r>
    </w:p>
    <w:p>
      <w:pPr>
        <w:keepLines w:val="0"/>
      </w:pPr>
      <w:r>
        <w:rPr>
          <w:rFonts w:ascii="Noto Sans" w:hAnsi="Noto Sans" w:eastAsia="Noto Sans TC" w:cs="Noto Sans"/>
          <w:b w:val="0"/>
        </w:rPr>
        <w:t>Anbieter: 上海追光智创文化传媒有限公司</w:t>
      </w:r>
    </w:p>
    <w:p>
      <w:pPr>
        <w:pStyle w:val="Heading1"/>
        <w:keepLines w:val="0"/>
      </w:pPr>
      <w:r>
        <w:rPr>
          <w:rFonts w:ascii="Noto Sans" w:hAnsi="Noto Sans" w:eastAsia="Noto Sans TC" w:cs="Noto Sans"/>
          <w:b w:val="0"/>
        </w:rPr>
        <w:t>1. Anbieter, Bezeichnung und Geltungsbereich</w:t>
      </w:r>
    </w:p>
    <w:p>
      <w:pPr>
        <w:keepLines w:val="0"/>
      </w:pPr>
      <w:r>
        <w:rPr>
          <w:rFonts w:ascii="Noto Sans" w:hAnsi="Noto Sans" w:eastAsia="Noto Sans TC" w:cs="Noto Sans"/>
          <w:b w:val="0"/>
        </w:rPr>
        <w:t>上海追光智创文化传媒有限公司 stellt diesen Dienst bereit. DAWNBLOOM AI ist die Marke unseres Unternehmens für das intelligente Interaktionssystem und die technischen Dienste; DAWNBLOOM Fairy ist der den Nutzern zugewandte intelligente Begleiter und die Interaktionsfigur desselben Dienstsystems. DAWNBLOOM AI 2.0 bezeichnet die öffentliche Version dieses intelligenten Dienstsystems und bedeutet nicht, dass unser Unternehmen eigenständig ein großes Basissprachmodell trainiert hat. Diese Bedingungen gelten gemeinsam mit den DAWNBLOOM-Nutzungsbedingungen, der Datenschutzerklärung, dem Spielerkodex und anderen anwendbaren Richtlinien; sie regeln ausschließlich die besonderen Angelegenheiten der intelligenten Dienste und schränken gesetzliche Rechte nicht ein.</w:t>
      </w:r>
    </w:p>
    <w:p>
      <w:pPr>
        <w:pStyle w:val="Heading1"/>
        <w:keepLines w:val="0"/>
      </w:pPr>
      <w:r>
        <w:rPr>
          <w:rFonts w:ascii="Noto Sans" w:hAnsi="Noto Sans" w:eastAsia="Noto Sans TC" w:cs="Noto Sans"/>
          <w:b w:val="0"/>
        </w:rPr>
        <w:t>2. Leistungsumfang und sprachliche Grenzen</w:t>
      </w:r>
    </w:p>
    <w:p>
      <w:pPr>
        <w:keepLines w:val="0"/>
      </w:pPr>
      <w:r>
        <w:rPr>
          <w:rFonts w:ascii="Noto Sans" w:hAnsi="Noto Sans" w:eastAsia="Noto Sans TC" w:cs="Noto Sans"/>
          <w:b w:val="0"/>
        </w:rPr>
        <w:t>Der Dienst beschränkt sich auf Fragen und Antworten zu öffentlich zugänglichem Spiel- und Produktwissen, den textlichen Austausch in natürlicher Sprache, die Anleitung zu Spielerdiensten sowie die tatsächlich freigeschalteten Oberflächenfunktionen von Intelligent UI; die Sprachunterstützung der offiziellen Website erweitert weder den Sprachumfang des Spielclients noch den jeweiligen Sprachumfang der sechs Softwareprodukte. Derzeit werden keine Bilderzeugung oder Bildbearbeitung, keine Erstellung von PDF- oder Word-Dokumenten, Präsentationen oder Tabellenkalkulationen und keine allgemeine Büroautomatisierung angeboten. Die Website-Version ist in das System der 20 Website-Sprachen eingebunden; im Spiel bleibt die Unterstützung auf die vier Sprachen Chinesisch, Englisch, Japanisch und Koreanisch begrenzt. Die Unterstützung einer Sprache bedeutet nicht, dass in dieser Sprache ein menschlicher Kundendienst oder professionelle Rechtsberatung angeboten wird.</w:t>
      </w:r>
    </w:p>
    <w:p>
      <w:pPr>
        <w:pStyle w:val="Heading1"/>
        <w:keepLines w:val="0"/>
      </w:pPr>
      <w:r>
        <w:rPr>
          <w:rFonts w:ascii="Noto Sans" w:hAnsi="Noto Sans" w:eastAsia="Noto Sans TC" w:cs="Noto Sans"/>
          <w:b w:val="0"/>
        </w:rPr>
        <w:t>3. Öffentliches Wissen und geschützte Informationen</w:t>
      </w:r>
    </w:p>
    <w:p>
      <w:pPr>
        <w:keepLines w:val="0"/>
      </w:pPr>
      <w:r>
        <w:rPr>
          <w:rFonts w:ascii="Noto Sans" w:hAnsi="Noto Sans" w:eastAsia="Noto Sans TC" w:cs="Noto Sans"/>
          <w:b w:val="0"/>
        </w:rPr>
        <w:t>Fragen und Antworten zum Wissen beschränken sich auf Spiel-, Produkt- und Kundendienstmaterialien, deren Veröffentlichung autorisiert wurde. Nicht veröffentlichte Handlungsinhalte, Quests, Karten, Wahrscheinlichkeiten, Formeln, interne Planungen, GM-Informationen, Sicherheitsmaßnahmen und Informationen zur Ausnutzung von Schwachstellen werden Nutzern nicht zugänglich gemacht. Die Frage-und-Antwort-Funktion darf nicht zur Extraktion geschützter Materialien genutzt werden.</w:t>
      </w:r>
    </w:p>
    <w:p>
      <w:pPr>
        <w:pStyle w:val="Heading1"/>
        <w:keepLines w:val="0"/>
      </w:pPr>
      <w:r>
        <w:rPr>
          <w:rFonts w:ascii="Noto Sans" w:hAnsi="Noto Sans" w:eastAsia="Noto Sans TC" w:cs="Noto Sans"/>
          <w:b w:val="0"/>
        </w:rPr>
        <w:t>4. Intelligent UI und Nutzerbestätigung</w:t>
      </w:r>
    </w:p>
    <w:p>
      <w:pPr>
        <w:keepLines w:val="0"/>
      </w:pPr>
      <w:r>
        <w:rPr>
          <w:rFonts w:ascii="Noto Sans" w:hAnsi="Noto Sans" w:eastAsia="Noto Sans TC" w:cs="Noto Sans"/>
          <w:b w:val="0"/>
        </w:rPr>
        <w:t>Intelligent UI verbindet Antworten mit interaktiven Informationskarten, Funktionszugängen und Bestätigungsoberflächen. Informationen über Fantasiewesen, Ausrüstung, Gegenstände, persönliche Spielaufzeichnungen und Kontosicherheit werden nur bereitgestellt, soweit die betreffende Funktion freigeschaltet ist, die betroffene Person rechtmäßig autorisiert hat und das Backend die Identität sowie die entsprechenden Berechtigungen bestätigt hat. Das Erscheinen einer KI-Antwort, einer Karte oder einer Schaltfläche bedeutet nicht, dass eine Aktion bereits ausgeführt wurde; sensible Aktionen müssen die offiziellen Prüfungen und erforderlichen Bestätigungen durchlaufen, und maßgeblich ist das Systemergebnis. Das Berechtigungssystem darf nicht umgangen werden, um Spielerdaten zu verändern oder nicht öffentliche Informationen anderer Personen auszulesen. Ausdrücklich als solche gekennzeichnete Demonstrationsdaten sind keine eigenen Aufzeichnungen des Nutzers und belegen weder eine tatsächliche Abfrage noch die erfolgreiche Durchführung einer Aktion.</w:t>
      </w:r>
    </w:p>
    <w:p>
      <w:pPr>
        <w:pStyle w:val="Heading1"/>
        <w:keepLines w:val="0"/>
      </w:pPr>
      <w:r>
        <w:rPr>
          <w:rFonts w:ascii="Noto Sans" w:hAnsi="Noto Sans" w:eastAsia="Noto Sans TC" w:cs="Noto Sans"/>
          <w:b w:val="0"/>
        </w:rPr>
        <w:t>5. Genauigkeit der Ausgaben und Prüfung wichtiger Informationen</w:t>
      </w:r>
    </w:p>
    <w:p>
      <w:pPr>
        <w:keepLines w:val="0"/>
      </w:pPr>
      <w:r>
        <w:rPr>
          <w:rFonts w:ascii="Noto Sans" w:hAnsi="Noto Sans" w:eastAsia="Noto Sans TC" w:cs="Noto Sans"/>
          <w:b w:val="0"/>
        </w:rPr>
        <w:t xml:space="preserve">KI-Antworten können Verständnisfehler, Auslassungen oder verzögerte Informationen enthalten und ersetzen weder offizielle Bekanntmachungen, Spielregeln, Produkt- und Erstattungsbedingungen noch im Rahmen einer autorisierten Prüfung verifizierte Aufzeichnungen oder Ergebnisse einer menschlichen Nachprüfung. Nutzer sollten wichtige Informationen eigenständig prüfen und können über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Fehler melden oder Beschwerden einreichen; KI-Empfehlungen ändern für sich genommen weder bestehende Nutzerrechte noch gesetzliche Rechtsbehelfe. Die KI trifft keine abschließenden Beurteilungen in rechtlichen, medizinischen, finanziellen oder anderen fachlichen Angelegenheiten.</w:t>
      </w:r>
    </w:p>
    <w:p>
      <w:pPr>
        <w:pStyle w:val="Heading1"/>
        <w:keepLines w:val="0"/>
      </w:pPr>
      <w:r>
        <w:rPr>
          <w:rFonts w:ascii="Noto Sans" w:hAnsi="Noto Sans" w:eastAsia="Noto Sans TC" w:cs="Noto Sans"/>
          <w:b w:val="0"/>
        </w:rPr>
        <w:t>6. Rechte und Verantwortlichkeiten bei Eingaben und Ausgaben</w:t>
      </w:r>
    </w:p>
    <w:p>
      <w:pPr>
        <w:keepLines w:val="0"/>
      </w:pPr>
      <w:r>
        <w:rPr>
          <w:rFonts w:ascii="Noto Sans" w:hAnsi="Noto Sans" w:eastAsia="Noto Sans TC" w:cs="Noto Sans"/>
          <w:b w:val="0"/>
        </w:rPr>
        <w:t>Nutzer müssen berechtigt sein, die eingegebenen Inhalte bereitzustellen, und dürfen keine rechtswidrigen Informationen oder Informationen einreichen, die Rechte anderer verletzen. Nutzer sind für die Rechtmäßigkeit der Nutzung und Verbreitung der Ausgaben sowie für die erforderliche Überprüfung verantwortlich. Durch die Erzeugung einer Antwort gewährt unser Unternehmen keine Rechte an Werken, Marken oder personenbezogenen Daten Dritter; gesetzlich bestehende Nutzerrechte an Ausgaben und andere gesetzliche Rechte werden durch diese Bedingungen nicht ausgeschlossen.</w:t>
      </w:r>
    </w:p>
    <w:p>
      <w:pPr>
        <w:pStyle w:val="Heading1"/>
        <w:keepLines w:val="0"/>
      </w:pPr>
      <w:r>
        <w:rPr>
          <w:rFonts w:ascii="Noto Sans" w:hAnsi="Noto Sans" w:eastAsia="Noto Sans TC" w:cs="Noto Sans"/>
          <w:b w:val="0"/>
        </w:rPr>
        <w:t>7. Sichere Nutzung und Verbot von Missbrauch</w:t>
      </w:r>
    </w:p>
    <w:p>
      <w:pPr>
        <w:keepLines w:val="0"/>
      </w:pPr>
      <w:r>
        <w:rPr>
          <w:rFonts w:ascii="Noto Sans" w:hAnsi="Noto Sans" w:eastAsia="Noto Sans TC" w:cs="Noto Sans"/>
          <w:b w:val="0"/>
        </w:rPr>
        <w:t>Angriffe, missbräuchliche massenhafte Abfragen, Identitätsvortäuschung, die Umgehung von Verifizierungscodes oder Berechtigungen, die Eingabe schädlicher Anweisungen, der Diebstahl nicht öffentlicher Inhalte und die Erzeugung falscher offizieller Zusagen sind untersagt. Bitte geben Sie keine Passwörter, vollständigen Einmal-Verifizierungscodes, Zahlungspasswörter, Token oder sonstigen unnötigen sensiblen Informationen an.</w:t>
      </w:r>
    </w:p>
    <w:p>
      <w:pPr>
        <w:pStyle w:val="Heading1"/>
        <w:keepLines w:val="0"/>
      </w:pPr>
      <w:r>
        <w:rPr>
          <w:rFonts w:ascii="Noto Sans" w:hAnsi="Noto Sans" w:eastAsia="Noto Sans TC" w:cs="Noto Sans"/>
          <w:b w:val="0"/>
        </w:rPr>
        <w:t>8. Kontodaten und Spielaktionen</w:t>
      </w:r>
    </w:p>
    <w:p>
      <w:pPr>
        <w:keepLines w:val="0"/>
      </w:pPr>
      <w:r>
        <w:rPr>
          <w:rFonts w:ascii="Noto Sans" w:hAnsi="Noto Sans" w:eastAsia="Noto Sans TC" w:cs="Noto Sans"/>
          <w:b w:val="0"/>
        </w:rPr>
        <w:t>Eigene Fantasiewesen, Ausrüstung, Gegenstände, Vermögenswerte und Aufzeichnungen dürfen nur im Rahmen der rechtmäßigen Autorisierung durch die betroffene Person und der Backend-Verifizierung eingesehen werden. Die KI erhält keine GM-Berechtigungen und verändert weder Vermögenswerte, Sanktionen noch offizielle Spielmechaniken unmittelbar; Wiederherstellungen, Streitfälle und Beschwerden werden in den offiziellen Verfahren geprüft.</w:t>
      </w:r>
    </w:p>
    <w:p>
      <w:pPr>
        <w:pStyle w:val="Heading1"/>
        <w:keepLines w:val="0"/>
      </w:pPr>
      <w:r>
        <w:rPr>
          <w:rFonts w:ascii="Noto Sans" w:hAnsi="Noto Sans" w:eastAsia="Noto Sans TC" w:cs="Noto Sans"/>
          <w:b w:val="0"/>
        </w:rPr>
        <w:t>9. Minderjährige</w:t>
      </w:r>
    </w:p>
    <w:p>
      <w:pPr>
        <w:keepLines w:val="0"/>
      </w:pPr>
      <w:r>
        <w:rPr>
          <w:rFonts w:ascii="Noto Sans" w:hAnsi="Noto Sans" w:eastAsia="Noto Sans TC" w:cs="Noto Sans"/>
          <w:b w:val="0"/>
        </w:rPr>
        <w:t>Für Konten und Spieldienste gilt weiterhin die bestehende Voraussetzung, dass das 18. Lebensjahr vollendet sein muss; sie wird durch den KI-Dienst nicht gelockert. Der Zugang zu öffentlichen Materialien bedeutet keine Erlaubnis zur Registrierung oder Nutzung eines Spielkontos. Bei Informationen über Minderjährige werden die anwendbaren Schutzanforderungen beachtet; KI-Gespräche ersetzen weder eine gesetzlich erforderliche Zustimmung der Sorgeberechtigten noch eine erforderliche Überprüfung.</w:t>
      </w:r>
    </w:p>
    <w:p>
      <w:pPr>
        <w:pStyle w:val="Heading1"/>
        <w:keepLines w:val="0"/>
      </w:pPr>
      <w:r>
        <w:rPr>
          <w:rFonts w:ascii="Noto Sans" w:hAnsi="Noto Sans" w:eastAsia="Noto Sans TC" w:cs="Noto Sans"/>
          <w:b w:val="0"/>
        </w:rPr>
        <w:t>10. Modelle Dritter und Datenverarbeitung</w:t>
      </w:r>
    </w:p>
    <w:p>
      <w:pPr>
        <w:keepLines w:val="0"/>
      </w:pPr>
      <w:r>
        <w:rPr>
          <w:rFonts w:ascii="Noto Sans" w:hAnsi="Noto Sans" w:eastAsia="Noto Sans TC" w:cs="Noto Sans"/>
          <w:b w:val="0"/>
        </w:rPr>
        <w:t>Die technische Anbindung nutzt die Fähigkeiten von Qwen über Alibaba Cloud Model Studio; für die Modellanbindung wird ein regionaler Endpunkt in Tokio, Japan, verwendet. Die Region des Endpunkts bedeutet nicht, dass sämtliche Nutzerdaten ausschließlich in Japan verarbeitet werden, und ersetzt nicht die Prüfung der tatsächlichen Dienstvereinbarungen, Anbieterprotokolle, Trainingskontrollen, Aufbewahrungseinstellungen und Pflichten bei grenzüberschreitender Datenverarbeitung. OpenAI Codex wirkt am Aufbau der Wissensbasis, der Funktionsentwicklung, dem Interaktionsdesign und der fortlaufenden Optimierung mit; dadurch erhält es nicht automatisch Chatdaten der Nutzer, und dies bedeutet auch nicht, dass es das Qwen-Basismodell trainiert hat. Für die konkreten Eingaben, den Kontext, Dienstprotokolle, die Aufbewahrung und Trainingskontrollen sind die geltende „DAWNBLOOM-Datenschutzerklärung“, die anwendbaren konkreten Hinweise und die tatsächlichen Dienstvereinbarungen maßgeblich. Die besonderen Datenschutzhinweise für KI werden noch geprüft; diese Bedingungen ersetzen keine Bestätigung der tatsächlichen Datenverarbeitung. Solange die erforderlichen Informationen, Autorisierungen und Sicherheitsprüfungen nicht vollständig erfolgt sind, werden die entsprechenden Modelle oder die Verarbeitung personenbezogener Daten nicht freigeschaltet.</w:t>
      </w:r>
    </w:p>
    <w:p>
      <w:pPr>
        <w:pStyle w:val="Heading1"/>
        <w:keepLines w:val="0"/>
      </w:pPr>
      <w:r>
        <w:rPr>
          <w:rFonts w:ascii="Noto Sans" w:hAnsi="Noto Sans" w:eastAsia="Noto Sans TC" w:cs="Noto Sans"/>
          <w:b w:val="0"/>
        </w:rPr>
        <w:t>11. Verfügbarkeit, Störungen und Anpassung des Dienstes</w:t>
      </w:r>
    </w:p>
    <w:p>
      <w:pPr>
        <w:keepLines w:val="0"/>
      </w:pPr>
      <w:r>
        <w:rPr>
          <w:rFonts w:ascii="Noto Sans" w:hAnsi="Noto Sans" w:eastAsia="Noto Sans TC" w:cs="Noto Sans"/>
          <w:b w:val="0"/>
        </w:rPr>
        <w:t>Für die tatsächlichen Funktionen sind die freigeschalteten Zugänge und der offizielle Dienststatus maßgeblich. Wartung, Störungen, Sicherheitsvorfälle, Kapazitätsengpässe oder Probleme bei Anbietern können Teile des Dienstes einschränken; wir ergreifen die erforderlichen Maßnahmen und informieren über geeignete Kanäle über wesentliche Änderungen. Das Einstellen von Modellanfragen bedeutet keine Löschung des Kontos; bestehende Rechte aus Käufen und gesetzliche Rechtsbehelfe verlieren durch Einschränkungen der KI-Funktionen nicht automatisch ihre Gültigkeit.</w:t>
      </w:r>
    </w:p>
    <w:p>
      <w:pPr>
        <w:pStyle w:val="Heading1"/>
        <w:keepLines w:val="0"/>
      </w:pPr>
      <w:r>
        <w:rPr>
          <w:rFonts w:ascii="Noto Sans" w:hAnsi="Noto Sans" w:eastAsia="Noto Sans TC" w:cs="Noto Sans"/>
          <w:b w:val="0"/>
        </w:rPr>
        <w:t>12. Maßnahmen bei Verstößen, Beschwerden und Fehlerkorrektur</w:t>
      </w:r>
    </w:p>
    <w:p>
      <w:pPr>
        <w:keepLines w:val="0"/>
      </w:pPr>
      <w:r>
        <w:rPr>
          <w:rFonts w:ascii="Noto Sans" w:hAnsi="Noto Sans" w:eastAsia="Noto Sans TC" w:cs="Noto Sans"/>
          <w:b w:val="0"/>
        </w:rPr>
        <w:t>Je nach tatsächlichem Risiko können Abfrageraten begrenzt, betreffende intelligente Funktionen ausgesetzt oder Maßnahmen nach dem Spielerkodex ergriffen werden; dabei wird ein offizieller Beschwerdeweg bereitgestellt. Nutzer können unter Angabe der konkreten Antwort, des Zeitpunkts der Frage und der erforderlichen Prüfunterlagen eine Fehlerkorrektur verlangen; bitte schwärzen Sie nicht relevante personenbezogene Informationen. Eine KI-Antwort stellt für sich genommen keine Sanktionsentscheidung dar.</w:t>
      </w:r>
    </w:p>
    <w:p>
      <w:pPr>
        <w:pStyle w:val="Heading1"/>
        <w:keepLines w:val="0"/>
      </w:pPr>
      <w:r>
        <w:rPr>
          <w:rFonts w:ascii="Noto Sans" w:hAnsi="Noto Sans" w:eastAsia="Noto Sans TC" w:cs="Noto Sans"/>
          <w:b w:val="0"/>
        </w:rPr>
        <w:t>13. Beendigung der Nutzung und Datenrechte</w:t>
      </w:r>
    </w:p>
    <w:p>
      <w:pPr>
        <w:keepLines w:val="0"/>
      </w:pPr>
      <w:r>
        <w:rPr>
          <w:rFonts w:ascii="Noto Sans" w:hAnsi="Noto Sans" w:eastAsia="Noto Sans TC" w:cs="Noto Sans"/>
          <w:b w:val="0"/>
        </w:rPr>
        <w:t xml:space="preserve">Nutzer können das Gespräch beenden, eine rechtlich widerrufbare Einwilligung widerrufen, lokale Chatverläufe löschen und über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oder den offiziellen Kundendienst Anträge auf Auskunft, Berichtigung, Löschung und Einschränkung der Verarbeitung sowie Beschwerden einreichen. Das Löschen lokaler Aufzeichnungen löscht nicht automatisch rechtmäßig aufbewahrte Dienstprotokolle, Bearbeitungstickets oder Aufzeichnungen Dritter; die weitere Verarbeitung richtet sich nach den tatsächlichen Datenkategorien, gesetzlichen Pflichten, Sicherheitsanforderungen und Erfordernissen noch offener Streitfälle und beeinträchtigt bestehende Rechte nicht. Die Beendigung der Nutzung lässt bestehende Beschwerden, Erstattungsansprüche, Datenschutzanträge oder gesetzliche Rechtsbehelfe nicht entfallen.</w:t>
      </w:r>
    </w:p>
    <w:p>
      <w:pPr>
        <w:pStyle w:val="Heading1"/>
        <w:keepLines w:val="0"/>
      </w:pPr>
      <w:r>
        <w:rPr>
          <w:rFonts w:ascii="Noto Sans" w:hAnsi="Noto Sans" w:eastAsia="Noto Sans TC" w:cs="Noto Sans"/>
          <w:b w:val="0"/>
        </w:rPr>
        <w:t>14. Aktualisierungen, Beschwerden und Kontakt</w:t>
      </w:r>
    </w:p>
    <w:p>
      <w:pPr>
        <w:keepLines w:val="0"/>
      </w:pPr>
      <w:r>
        <w:rPr>
          <w:rFonts w:ascii="Noto Sans" w:hAnsi="Noto Sans" w:eastAsia="Noto Sans TC" w:cs="Noto Sans"/>
          <w:b w:val="0"/>
        </w:rPr>
        <w:t xml:space="preserve">Wesentliche Änderungen der Bedingungen oder der Verarbeitung werden nach anwendbarem Recht mitgeteilt, und erforderliche Verfahren werden durchgeführt; bereits entstandene gesetzliche Rechte werden nicht rückwirkend eingeschränkt. Rechtliche Angelegenheiten und Datenrechte: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Kundendienst und Fehlerkorrektur: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Sicherheitsvorfälle: </w:t>
      </w:r>
      <w:hyperlink r:id="rId13">
        <w:r>
          <w:rPr>
            <w:rFonts w:ascii="Noto Sans" w:hAnsi="Noto Sans" w:eastAsia="Noto Sans TC"/>
            <w:b w:val="0"/>
          </w:rPr>
          <w:t xml:space="preserve">security@dawnbloom.net</w:t>
        </w:r>
      </w:hyperlink>
      <w:r>
        <w:rPr>
          <w:rFonts w:ascii="Noto Sans" w:hAnsi="Noto Sans" w:eastAsia="Noto Sans TC" w:cs="Noto Sans"/>
          <w:b w:val="0"/>
        </w:rPr>
        <w:t xml:space="preserve">. Die gesetzliche Kontaktanschrift entspricht weiterhin den offiziellen rechtlichen Angaben.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Nutzungsbedingungen für DAWNBLOOM AI</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