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jc w:val="center"/>
        <w:bidi w:val="1"/>
      </w:pPr>
      <w:r>
        <w:rPr>
          <w:rFonts w:ascii="Noto Sans" w:hAnsi="Noto Sans" w:eastAsia="Noto Sans TC" w:cs="Noto Sans Arabic"/>
          <w:b/>
          <w:color w:val="142032"/>
          <w:sz w:val="40"/>
          <w:rtl w:val="1"/>
        </w:rPr>
        <w:t>شروط استخدام DAWNBLOOM Token</w:t>
      </w:r>
    </w:p>
    <w:p>
      <w:pPr>
        <w:keepLines w:val="0"/>
        <w:bidi w:val="1"/>
      </w:pPr>
      <w:r>
        <w:rPr>
          <w:rFonts w:ascii="Noto Sans" w:hAnsi="Noto Sans" w:eastAsia="Noto Sans TC" w:cs="Noto Sans Arabic"/>
          <w:b w:val="0"/>
          <w:rtl w:val="1"/>
        </w:rPr>
        <w:t>الإصدار: V8</w:t>
      </w:r>
    </w:p>
    <w:p>
      <w:pPr>
        <w:keepLines w:val="0"/>
        <w:bidi w:val="1"/>
      </w:pPr>
      <w:r>
        <w:rPr>
          <w:rFonts w:ascii="Noto Sans" w:hAnsi="Noto Sans" w:eastAsia="Noto Sans TC" w:cs="Noto Sans Arabic"/>
          <w:b w:val="0"/>
          <w:rtl w:val="1"/>
        </w:rPr>
        <w:t>تاريخ المراجعة: 10 أكتوبر 2026</w:t>
      </w:r>
    </w:p>
    <w:p>
      <w:pPr>
        <w:keepLines w:val="0"/>
        <w:bidi w:val="1"/>
      </w:pPr>
      <w:r>
        <w:rPr>
          <w:rFonts w:ascii="Noto Sans" w:hAnsi="Noto Sans" w:eastAsia="Noto Sans TC" w:cs="Noto Sans Arabic"/>
          <w:b w:val="0"/>
          <w:rtl w:val="1"/>
        </w:rPr>
        <w:t>تاريخ النفاذ: 10 أكتوبر 2026</w:t>
      </w:r>
    </w:p>
    <w:p>
      <w:pPr>
        <w:keepLines w:val="0"/>
        <w:bidi w:val="1"/>
      </w:pPr>
      <w:r>
        <w:rPr>
          <w:rFonts w:ascii="Noto Sans" w:hAnsi="Noto Sans" w:eastAsia="Noto Sans TC" w:cs="Noto Sans Arabic"/>
          <w:b w:val="0"/>
          <w:rtl w:val="1"/>
        </w:rPr>
        <w:t>الجهة المقدمة: 上海追光智创文化传媒有限公司</w:t>
      </w:r>
    </w:p>
    <w:p>
      <w:pPr>
        <w:keepLines w:val="0"/>
        <w:bidi w:val="1"/>
      </w:pPr>
      <w:r>
        <w:rPr>
          <w:rFonts w:ascii="Noto Sans" w:hAnsi="Noto Sans" w:eastAsia="Noto Sans TC" w:cs="Noto Sans Arabic"/>
          <w:b w:val="0"/>
          <w:rtl w:val="1"/>
        </w:rPr>
        <w:t>مرحبًا بك في DAWNBLOOM Token. تسري هذه الشروط على تنزيل هذا المنتج أو تثبيته أو استخدامه من القنوات الرسمية وعلى خدماته الرسمية ذات الصلة. يُرجى قراءتها أولًا؛ وإذا لم توافق، فلا تنزل المنتج أو تستخدمه.</w:t>
      </w:r>
    </w:p>
    <w:p>
      <w:pPr>
        <w:pStyle w:val="Heading1"/>
        <w:keepLines w:val="0"/>
        <w:bidi w:val="1"/>
      </w:pPr>
      <w:r>
        <w:rPr>
          <w:rFonts w:ascii="Noto Sans" w:hAnsi="Noto Sans" w:eastAsia="Noto Sans TC" w:cs="Noto Sans Arabic"/>
          <w:b w:val="0"/>
          <w:rtl w:val="1"/>
        </w:rPr>
        <w:t>مقدم الخدمة</w:t>
      </w:r>
    </w:p>
    <w:p>
      <w:pPr>
        <w:keepLines w:val="0"/>
        <w:bidi w:val="1"/>
      </w:pPr>
      <w:r>
        <w:rPr>
          <w:rFonts w:ascii="Noto Sans" w:hAnsi="Noto Sans" w:eastAsia="Noto Sans TC" w:cs="Noto Sans Arabic"/>
          <w:b w:val="0"/>
          <w:rtl w:val="1"/>
        </w:rPr>
        <w:t>上海追光智创文化传媒有限公司 · الصين، منطقة التجارة الحرة التجريبية في شنغهاي، منطقة لينغانغ الجديدة، طريق تيانجياو رقم 336، المبنى 3، الغرفة 218</w:t>
      </w:r>
    </w:p>
    <w:p>
      <w:pPr>
        <w:keepLines w:val="0"/>
        <w:bidi w:val="1"/>
      </w:pPr>
      <w:hyperlink r:id="rId11">
        <w:r>
          <w:rPr>
            <w:rFonts w:ascii="Noto Sans" w:hAnsi="Noto Sans" w:eastAsia="Noto Sans TC"/>
            <w:b w:val="0"/>
          </w:rPr>
          <w:t xml:space="preserve">support@dawnbloom.net</w:t>
        </w:r>
      </w:hyperlink>
      <w:r>
        <w:rPr>
          <w:rFonts w:ascii="Noto Sans" w:hAnsi="Noto Sans" w:eastAsia="Noto Sans TC" w:cs="Noto Sans Arabic"/>
          <w:b w:val="0"/>
          <w:rtl w:val="1"/>
        </w:rPr>
        <w:t xml:space="preserve"> · </w:t>
      </w:r>
      <w:hyperlink r:id="rId12">
        <w:r>
          <w:rPr>
            <w:rFonts w:ascii="Noto Sans" w:hAnsi="Noto Sans" w:eastAsia="Noto Sans TC"/>
            <w:b w:val="0"/>
          </w:rPr>
          <w:t xml:space="preserve">https://dawnbloom.net</w:t>
        </w:r>
      </w:hyperlink>
    </w:p>
    <w:p>
      <w:pPr>
        <w:pStyle w:val="Heading1"/>
        <w:keepLines w:val="0"/>
        <w:bidi w:val="1"/>
      </w:pPr>
      <w:r>
        <w:rPr>
          <w:rFonts w:ascii="Noto Sans" w:hAnsi="Noto Sans" w:eastAsia="Noto Sans TC" w:cs="Noto Sans Arabic"/>
          <w:b w:val="0"/>
          <w:rtl w:val="1"/>
        </w:rPr>
        <w:t>نطاق المنتج والحساب</w:t>
      </w:r>
    </w:p>
    <w:p>
      <w:pPr>
        <w:keepLines w:val="0"/>
        <w:bidi w:val="1"/>
      </w:pPr>
      <w:r>
        <w:rPr>
          <w:rFonts w:ascii="Noto Sans" w:hAnsi="Noto Sans" w:eastAsia="Noto Sans TC" w:cs="Noto Sans Arabic"/>
          <w:b w:val="0"/>
          <w:rtl w:val="1"/>
        </w:rPr>
        <w:t>يوفر DAWNBLOOM Token مداخل حساب DAWNBLOOM والتحقق الأمني والمجتمع الرسمي والمعلومات. يظل تسجيل الحساب وتسجيل الدخول وربطه واستعادته وإلغاؤه خاضعًا لقواعد الحساب المعنية؛ وتسري قواعد اللعبة والمجتمع بصورة مستقلة، ولا تُغيّر هذه الشروط شروط المشاركة فيهما. تُستخدم الرموز الديناميكية للتحقق من أمان الهوية فقط، وليست عملة أو أصلًا أو إثباتًا لعائد.</w:t>
      </w:r>
    </w:p>
    <w:p>
      <w:pPr>
        <w:pStyle w:val="Heading1"/>
        <w:keepLines w:val="0"/>
        <w:bidi w:val="1"/>
      </w:pPr>
      <w:r>
        <w:rPr>
          <w:rFonts w:ascii="Noto Sans" w:hAnsi="Noto Sans" w:eastAsia="Noto Sans TC" w:cs="Noto Sans Arabic"/>
          <w:b w:val="0"/>
          <w:rtl w:val="1"/>
        </w:rPr>
        <w:t>رموز التحقق وأمان الجهاز</w:t>
      </w:r>
    </w:p>
    <w:p>
      <w:pPr>
        <w:keepLines w:val="0"/>
        <w:bidi w:val="1"/>
      </w:pPr>
      <w:r>
        <w:rPr>
          <w:rFonts w:ascii="Noto Sans" w:hAnsi="Noto Sans" w:eastAsia="Noto Sans TC" w:cs="Noto Sans Arabic"/>
          <w:b w:val="0"/>
          <w:rtl w:val="1"/>
        </w:rPr>
        <w:t>يُرجى الحفاظ على كلمات المرور ومعلومات الربط والرموز الديناميكية، والموافقة فقط على عمليات التحقق التي بدأتَها بنفسك. لن تطلب الجهة الرسمية هذه المعلومات عبر محادثات خاصة. عند فقدان الجهاز أو حدوث ربط غير طبيعي أو الاشتباه في سرقة الحساب، يُرجى معالجة الأمر بأسرع وقت عبر إدارة الحساب الرسمية أو قنوات خدمة العملاء. قد يؤثر وقت الجهاز وأمان النظام وحالة الشبكة في التحقق؛ ولا يمكن لهذا المنتج ضمان تجنب جميع مخاطر سرقة الحسابات أو الاحتيال أو الأجهزة.</w:t>
      </w:r>
    </w:p>
    <w:p>
      <w:pPr>
        <w:pStyle w:val="Heading1"/>
        <w:keepLines w:val="0"/>
        <w:bidi w:val="1"/>
      </w:pPr>
      <w:r>
        <w:rPr>
          <w:rFonts w:ascii="Noto Sans" w:hAnsi="Noto Sans" w:eastAsia="Noto Sans TC" w:cs="Noto Sans Arabic"/>
          <w:b w:val="0"/>
          <w:rtl w:val="1"/>
        </w:rPr>
        <w:t>ترخيص البرنامج</w:t>
      </w:r>
    </w:p>
    <w:p>
      <w:pPr>
        <w:keepLines w:val="0"/>
        <w:bidi w:val="1"/>
      </w:pPr>
      <w:r>
        <w:rPr>
          <w:rFonts w:ascii="Noto Sans" w:hAnsi="Noto Sans" w:eastAsia="Noto Sans TC" w:cs="Noto Sans Arabic"/>
          <w:b w:val="0"/>
          <w:rtl w:val="1"/>
        </w:rPr>
        <w:t>بشرط الامتثال لهذه الشروط والقانون المنطبق، يجوز لك تثبيت الإصدار الرسمي واستخدامه على أجهزة متوافقة تملكها أو تتحكم فيها بصورة قانونية. تظل حقوق الملكية الفكرية في البرنامج والعلامة التجارية والمحتوى ذي الصلة لأصحابها. تُقدم المكونات مفتوحة المصدر التابعة لأطراف ثالثة وفق تراخيصها الخاصة.</w:t>
      </w:r>
    </w:p>
    <w:p>
      <w:pPr>
        <w:pStyle w:val="Heading1"/>
        <w:keepLines w:val="0"/>
        <w:bidi w:val="1"/>
      </w:pPr>
      <w:r>
        <w:rPr>
          <w:rFonts w:ascii="Noto Sans" w:hAnsi="Noto Sans" w:eastAsia="Noto Sans TC" w:cs="Noto Sans Arabic"/>
          <w:b w:val="0"/>
          <w:rtl w:val="1"/>
        </w:rPr>
        <w:t>الاستخدام القانوني وخدمات الأطراف الثالثة</w:t>
      </w:r>
    </w:p>
    <w:p>
      <w:pPr>
        <w:keepLines w:val="0"/>
        <w:bidi w:val="1"/>
      </w:pPr>
      <w:r>
        <w:rPr>
          <w:rFonts w:ascii="Noto Sans" w:hAnsi="Noto Sans" w:eastAsia="Noto Sans TC" w:cs="Noto Sans Arabic"/>
          <w:b w:val="0"/>
          <w:rtl w:val="1"/>
        </w:rPr>
        <w:t>يحظر انتحال الصفة الرسمية أو نشر برمجيات خبيثة أو سرقة الحسابات أو انتهاك حقوق الآخرين أو الإخلال بأمان الخدمة. لا تحد هذه الشروط من الأفعال التي يسمح بها القانون المنطبق أو الحقوق التي تمنحها تراخيص المصادر المفتوحة. تخضع المواقع الخارجية ومصادر المحتوى والمتاجر لقواعدها الخاصة؛ ولا نتحكم في محتواها أو توافرها أو رسومها.</w:t>
      </w:r>
    </w:p>
    <w:p>
      <w:pPr>
        <w:pStyle w:val="Heading1"/>
        <w:keepLines w:val="0"/>
        <w:bidi w:val="1"/>
      </w:pPr>
      <w:r>
        <w:rPr>
          <w:rFonts w:ascii="Noto Sans" w:hAnsi="Noto Sans" w:eastAsia="Noto Sans TC" w:cs="Noto Sans Arabic"/>
          <w:b w:val="0"/>
          <w:rtl w:val="1"/>
        </w:rPr>
        <w:t>الخصوصية والتأكيدات اللازمة</w:t>
      </w:r>
    </w:p>
    <w:p>
      <w:pPr>
        <w:keepLines w:val="0"/>
        <w:bidi w:val="1"/>
      </w:pPr>
      <w:r>
        <w:rPr>
          <w:rFonts w:ascii="Noto Sans" w:hAnsi="Noto Sans" w:eastAsia="Noto Sans TC" w:cs="Noto Sans Arabic"/>
          <w:b w:val="0"/>
          <w:rtl w:val="1"/>
        </w:rPr>
        <w:t>تخضع معالجة المعلومات الشخصية لبيان خصوصية هذا المنتج وسياسة خصوصية DAWNBLOOM. لا تحل هذه الشروط محل أذونات النظام أو التأكيدات المنفصلة اللازمة قانونًا لعمليات الحساب أو المزامنة الاختيارية أو غيرها؛ ويمكنك رفض الوظائف الاختيارية.</w:t>
      </w:r>
    </w:p>
    <w:p>
      <w:pPr>
        <w:pStyle w:val="Heading1"/>
        <w:keepLines w:val="0"/>
        <w:bidi w:val="1"/>
      </w:pPr>
      <w:r>
        <w:rPr>
          <w:rFonts w:ascii="Noto Sans" w:hAnsi="Noto Sans" w:eastAsia="Noto Sans TC" w:cs="Noto Sans Arabic"/>
          <w:b w:val="0"/>
          <w:rtl w:val="1"/>
        </w:rPr>
        <w:t>حالة الإتاحة والتحديثات والرسوم</w:t>
      </w:r>
    </w:p>
    <w:p>
      <w:pPr>
        <w:keepLines w:val="0"/>
        <w:bidi w:val="1"/>
      </w:pPr>
      <w:r>
        <w:rPr>
          <w:rFonts w:ascii="Noto Sans" w:hAnsi="Noto Sans" w:eastAsia="Noto Sans TC" w:cs="Noto Sans Arabic"/>
          <w:b w:val="0"/>
          <w:rtl w:val="1"/>
        </w:rPr>
        <w:t>تُحدد الوظائف والقنوات وفق الإصدار العام الفعلي، وقد تختلف باختلاف المنصة أو الجهاز أو المنطقة. لا يعني رقم الإصدار الموحد على الموقع الرسمي أن جميع المتاجر أتاحت الإصدار نفسه. قد نقدم تحديثات للأمان والوظائف؛ وإذا استُحدثت رسوم، فسنوضح مسبقًا السعر والنطاق والقواعد المنطبقة، ولن نخصم رسومًا استنادًا إلى هذه الشروط وحدها. عند الحصول على البرنامج عبر متجر، يجب أيضًا الامتثال لقواعد الترخيص والشراء المنطبقة في ذلك المتجر.</w:t>
      </w:r>
    </w:p>
    <w:p>
      <w:pPr>
        <w:pStyle w:val="Heading1"/>
        <w:keepLines w:val="0"/>
        <w:bidi w:val="1"/>
      </w:pPr>
      <w:r>
        <w:rPr>
          <w:rFonts w:ascii="Noto Sans" w:hAnsi="Noto Sans" w:eastAsia="Noto Sans TC" w:cs="Noto Sans Arabic"/>
          <w:b w:val="0"/>
          <w:rtl w:val="1"/>
        </w:rPr>
        <w:t>قيود الخدمة وحقوق المستخدم</w:t>
      </w:r>
    </w:p>
    <w:p>
      <w:pPr>
        <w:keepLines w:val="0"/>
        <w:bidi w:val="1"/>
      </w:pPr>
      <w:r>
        <w:rPr>
          <w:rFonts w:ascii="Noto Sans" w:hAnsi="Noto Sans" w:eastAsia="Noto Sans TC" w:cs="Noto Sans Arabic"/>
          <w:b w:val="0"/>
          <w:rtl w:val="1"/>
        </w:rPr>
        <w:t>سنتولى صيانة المنتج بصورة معقولة، لكننا لا نتعهد بأنه سيكون دائمًا خاليًا من الأخطاء أو دون انقطاع أو ملائمًا بالكامل لغرض معين في جميع البيئات. يُرجى حفظ نسخ احتياطية مناسبة من المعلومات والملفات المهمة. لا تسري أي حدود للمسؤولية إلا في الحدود التي يسمح بها القانون المنطبق، ولا تستبعد المسؤولية التي لا يجوز استبعادها قانونًا، ولا تعفي من المسؤولية الواجبة قانونًا عن العمد أو الإهمال الجسيم، ولا تنتقص من حقوق المستهلك الآمرة.</w:t>
      </w:r>
    </w:p>
    <w:p>
      <w:pPr>
        <w:pStyle w:val="Heading1"/>
        <w:keepLines w:val="0"/>
        <w:bidi w:val="1"/>
      </w:pPr>
      <w:r>
        <w:rPr>
          <w:rFonts w:ascii="Noto Sans" w:hAnsi="Noto Sans" w:eastAsia="Noto Sans TC" w:cs="Noto Sans Arabic"/>
          <w:b w:val="0"/>
          <w:rtl w:val="1"/>
        </w:rPr>
        <w:t>التوقف عن الاستخدام وتدابير الخدمة</w:t>
      </w:r>
    </w:p>
    <w:p>
      <w:pPr>
        <w:keepLines w:val="0"/>
        <w:bidi w:val="1"/>
      </w:pPr>
      <w:r>
        <w:rPr>
          <w:rFonts w:ascii="Noto Sans" w:hAnsi="Noto Sans" w:eastAsia="Noto Sans TC" w:cs="Noto Sans Arabic"/>
          <w:b w:val="0"/>
          <w:rtl w:val="1"/>
        </w:rPr>
        <w:t>يمكنك التوقف عن الاستخدام وإلغاء تثبيت البرنامج. إلغاء التثبيت وتسجيل الخروج وإلغاء حساب DAWNBLOOM عمليات مختلفة؛ وإذا رغبت في إلغاء الحساب، فيُرجى استخدام الإجراء الرسمي للحساب. عند وجود مخاطر أمنية أو أفعال غير قانونية أو مخالفة جسيمة للشروط، يجوز لنا اتخاذ قيود ضرورية ومتناسبة، مع بيان الأسباب وتوفير وسيلة للتواصل أو التظلم متى كان ذلك ممكنًا ومسموحًا قانونًا.</w:t>
      </w:r>
    </w:p>
    <w:p>
      <w:pPr>
        <w:pStyle w:val="Heading1"/>
        <w:keepLines w:val="0"/>
        <w:bidi w:val="1"/>
      </w:pPr>
      <w:r>
        <w:rPr>
          <w:rFonts w:ascii="Noto Sans" w:hAnsi="Noto Sans" w:eastAsia="Noto Sans TC" w:cs="Noto Sans Arabic"/>
          <w:b w:val="0"/>
          <w:rtl w:val="1"/>
        </w:rPr>
        <w:t>تحديث الشروط وتسوية النزاعات</w:t>
      </w:r>
    </w:p>
    <w:p>
      <w:pPr>
        <w:keepLines w:val="0"/>
        <w:bidi w:val="1"/>
      </w:pPr>
      <w:r>
        <w:rPr>
          <w:rFonts w:ascii="Noto Sans" w:hAnsi="Noto Sans" w:eastAsia="Noto Sans TC" w:cs="Noto Sans Arabic"/>
          <w:b w:val="0"/>
          <w:rtl w:val="1"/>
        </w:rPr>
        <w:t>ستُوضح تواريخ تحديث الشروط. سيُبلغ عن التغييرات الجوهرية بطريقة معقولة، وسنحصل على موافقة منفصلة عندما يستلزم القانون موافقة صريحة جديدة. تخضع هذه الشروط لقوانين جمهورية الصين الشعبية، دون المساس بالقوانين الآمرة وحقوق المستهلك في محل وجود المستخدم. ينبغي السعي أولًا إلى تسوية النزاعات وديًا؛ وعند تعذر الحل، يجوز طرحها وفق القانون أمام المحكمة المختصة، دون استبعاد سبل الانتصاف التي يتمتع بها المستخدم قانونًا.</w:t>
      </w:r>
    </w:p>
    <w:sectPr w:rsidR="00FC693F" w:rsidRPr="0006063C" w:rsidSect="00034616">
      <w:headerReference w:type="default" r:id="rId9"/>
      <w:footerReference w:type="default" r:id="rId10"/>
      <w:pgSz w:w="12240" w:h="15840"/>
      <w:pgMar w:top="1191"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ans" w:hAnsi="Noto Sans" w:eastAsia="Noto Sans TC"/>
        <w:sz w:val="16"/>
      </w:rPr>
      <w:t xml:space="preserve">dawnbloom.net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Noto Sans" w:hAnsi="Noto Sans" w:eastAsia="Noto Sans TC"/>
        <w:color w:val="67778B"/>
        <w:sz w:val="15"/>
      </w:rPr>
      <w:t>DAWNBLOOM · OFFICIAL LEGAL DOCUMENT · V8</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Noto Sans" w:hAnsi="Noto Sans" w:eastAsia="Noto Sans TC"/>
      <w:color w:val="24304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Noto Sans" w:hAnsi="Noto Sans" w:eastAsia="Noto Sans TC"/>
      <w:b/>
      <w:bCs/>
      <w:color w:val="123C71"/>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Noto Sans" w:hAnsi="Noto Sans" w:eastAsia="Noto Sans TC"/>
      <w:b/>
      <w:bCs/>
      <w:color w:val="123C71"/>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Noto Sans" w:hAnsi="Noto Sans" w:eastAsia="Noto Sans TC"/>
      <w:b/>
      <w:bCs/>
      <w:color w:val="123C7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Noto Sans" w:hAnsi="Noto Sans" w:eastAsia="Noto Sans TC"/>
      <w:b/>
      <w:color w:val="14203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mailto:support@dawnbloom.net" TargetMode="External"/><Relationship Id="rId12" Type="http://schemas.openxmlformats.org/officeDocument/2006/relationships/hyperlink" Target="https://dawnbloom.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شروط استخدام DAWNBLOOM Token</dc:title>
  <dc:subject>DAWNBLOOM legal document V8</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