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bidi w:val="1"/>
      </w:pPr>
      <w:r>
        <w:rPr>
          <w:rFonts w:ascii="Noto Sans" w:hAnsi="Noto Sans" w:eastAsia="Noto Sans TC" w:cs="Noto Sans Arabic"/>
          <w:b/>
          <w:color w:val="142032"/>
          <w:sz w:val="40"/>
          <w:rtl w:val="1"/>
        </w:rPr>
        <w:t>شروط استخدام DAWNBLOOM AI</w:t>
      </w:r>
    </w:p>
    <w:p>
      <w:pPr>
        <w:keepLines w:val="0"/>
        <w:bidi w:val="1"/>
      </w:pPr>
      <w:r>
        <w:rPr>
          <w:rFonts w:ascii="Noto Sans" w:hAnsi="Noto Sans" w:eastAsia="Noto Sans TC" w:cs="Noto Sans Arabic"/>
          <w:b w:val="0"/>
          <w:rtl w:val="1"/>
        </w:rPr>
        <w:t>الإصدار: V8</w:t>
      </w:r>
    </w:p>
    <w:p>
      <w:pPr>
        <w:keepLines w:val="0"/>
        <w:bidi w:val="1"/>
      </w:pPr>
      <w:r>
        <w:rPr>
          <w:rFonts w:ascii="Noto Sans" w:hAnsi="Noto Sans" w:eastAsia="Noto Sans TC" w:cs="Noto Sans Arabic"/>
          <w:b w:val="0"/>
          <w:rtl w:val="1"/>
        </w:rPr>
        <w:t>تاريخ المراجعة: 10 أكتوبر 2026</w:t>
      </w:r>
    </w:p>
    <w:p>
      <w:pPr>
        <w:keepLines w:val="0"/>
        <w:bidi w:val="1"/>
      </w:pPr>
      <w:r>
        <w:rPr>
          <w:rFonts w:ascii="Noto Sans" w:hAnsi="Noto Sans" w:eastAsia="Noto Sans TC" w:cs="Noto Sans Arabic"/>
          <w:b w:val="0"/>
          <w:rtl w:val="1"/>
        </w:rPr>
        <w:t>تاريخ النفاذ: 10 أكتوبر 2026</w:t>
      </w:r>
    </w:p>
    <w:p>
      <w:pPr>
        <w:keepLines w:val="0"/>
        <w:bidi w:val="1"/>
      </w:pPr>
      <w:r>
        <w:rPr>
          <w:rFonts w:ascii="Noto Sans" w:hAnsi="Noto Sans" w:eastAsia="Noto Sans TC" w:cs="Noto Sans Arabic"/>
          <w:b w:val="0"/>
          <w:rtl w:val="1"/>
        </w:rPr>
        <w:t>الجهة المقدمة: 上海追光智创文化传媒有限公司</w:t>
      </w:r>
    </w:p>
    <w:p>
      <w:pPr>
        <w:pStyle w:val="Heading1"/>
        <w:keepLines w:val="0"/>
        <w:bidi w:val="1"/>
      </w:pPr>
      <w:r>
        <w:rPr>
          <w:rFonts w:ascii="Noto Sans" w:hAnsi="Noto Sans" w:eastAsia="Noto Sans TC" w:cs="Noto Sans Arabic"/>
          <w:b w:val="0"/>
          <w:rtl w:val="1"/>
        </w:rPr>
        <w:t>1. الجهة المقدمة والاسم ونطاق التطبيق</w:t>
      </w:r>
    </w:p>
    <w:p>
      <w:pPr>
        <w:keepLines w:val="0"/>
        <w:bidi w:val="1"/>
      </w:pPr>
      <w:r>
        <w:rPr>
          <w:rFonts w:ascii="Noto Sans" w:hAnsi="Noto Sans" w:eastAsia="Noto Sans TC" w:cs="Noto Sans Arabic"/>
          <w:b w:val="0"/>
          <w:rtl w:val="1"/>
        </w:rPr>
        <w:t>تقدم 上海追光智创文化传媒有限公司 هذه الخدمة. DAWNBLOOM AI هو العلامة التجارية لنظام التفاعل الذكي والخدمات التقنية للشركة، وDAWNBLOOM Fairy هو الرفيق الذكي والشخصية التفاعلية الموجهة للمستخدمين ضمن منظومة الخدمات نفسها. يشير DAWNBLOOM AI 2.0 إلى الإصدار العام لهذه المنظومة، ولا يعني أن الشركة درّبت بصورة مستقلة نموذجًا لغويًا كبيرًا أساسيًا. تسري هذه الشروط مع شروط خدمات DAWNBLOOM وسياسة الخصوصية وقواعد اللاعبين وغيرها من السياسات المنطبقة؛ وتتناول هذه الشروط المسائل الخاصة بالخدمات الذكية فقط، ولا تنتقص من الحقوق المقررة قانونًا.</w:t>
      </w:r>
    </w:p>
    <w:p>
      <w:pPr>
        <w:pStyle w:val="Heading1"/>
        <w:keepLines w:val="0"/>
        <w:bidi w:val="1"/>
      </w:pPr>
      <w:r>
        <w:rPr>
          <w:rFonts w:ascii="Noto Sans" w:hAnsi="Noto Sans" w:eastAsia="Noto Sans TC" w:cs="Noto Sans Arabic"/>
          <w:b w:val="0"/>
          <w:rtl w:val="1"/>
        </w:rPr>
        <w:t>2. محتوى الخدمة وحدود اللغات</w:t>
      </w:r>
    </w:p>
    <w:p>
      <w:pPr>
        <w:keepLines w:val="0"/>
        <w:bidi w:val="1"/>
      </w:pPr>
      <w:r>
        <w:rPr>
          <w:rFonts w:ascii="Noto Sans" w:hAnsi="Noto Sans" w:eastAsia="Noto Sans TC" w:cs="Noto Sans Arabic"/>
          <w:b w:val="0"/>
          <w:rtl w:val="1"/>
        </w:rPr>
        <w:t>تقتصر الخدمة على الإجابة عن الأسئلة المتعلقة بالمعلومات العامة عن اللعبة والمنتجات، والتواصل النصي باللغة الطبيعية، وإرشاد اللاعبين إلى الخدمات، وإمكانات واجهة Intelligent UI المتاحة فعليًا؛ ولا يؤدي دعم لغات الموقع الرسمي إلى توسيع نطاق لغات عميل اللعبة أو نطاق اللغات الخاص بكل واحد من المنتجات البرمجية الستة. لا تتوفر حاليًا خدمات إنشاء الصور أو تحريرها، أو إنشاء ملفات PDF أو Word أو العروض التقديمية أو جداول البيانات، أو الأتمتة المكتبية العامة. يندرج إصدار الموقع الرسمي ضمن منظومة لغات الموقع الرسمي البالغ عددها 20 لغة؛ وتظل الخدمة داخل اللعبة مقتصرة على اللغات الأربع: الصينية والإنجليزية واليابانية والكورية. لا يعني دعم لغة معينة توفير خدمة عملاء بشرية أو مشورة قانونية متخصصة بتلك اللغة.</w:t>
      </w:r>
    </w:p>
    <w:p>
      <w:pPr>
        <w:pStyle w:val="Heading1"/>
        <w:keepLines w:val="0"/>
        <w:bidi w:val="1"/>
      </w:pPr>
      <w:r>
        <w:rPr>
          <w:rFonts w:ascii="Noto Sans" w:hAnsi="Noto Sans" w:eastAsia="Noto Sans TC" w:cs="Noto Sans Arabic"/>
          <w:b w:val="0"/>
          <w:rtl w:val="1"/>
        </w:rPr>
        <w:t>3. المعلومات العامة والمعلومات المحمية</w:t>
      </w:r>
    </w:p>
    <w:p>
      <w:pPr>
        <w:keepLines w:val="0"/>
        <w:bidi w:val="1"/>
      </w:pPr>
      <w:r>
        <w:rPr>
          <w:rFonts w:ascii="Noto Sans" w:hAnsi="Noto Sans" w:eastAsia="Noto Sans TC" w:cs="Noto Sans Arabic"/>
          <w:b w:val="0"/>
          <w:rtl w:val="1"/>
        </w:rPr>
        <w:t>تقتصر الإجابة عن الأسئلة المعرفية على مواد اللعبة والمنتجات وخدمة العملاء المصرح بنشرها للعامة. لا تتاح للمستخدمين تفاصيل القصة أو المهام أو الخرائط أو الاحتمالات أو المعادلات غير المنشورة، ولا التخطيط الداخلي أو معلومات GM أو التدابير الأمنية أو مواد استغلال الثغرات. يحظر استخدام الأسئلة والأجوبة لاستخراج مواد محمية.</w:t>
      </w:r>
    </w:p>
    <w:p>
      <w:pPr>
        <w:pStyle w:val="Heading1"/>
        <w:keepLines w:val="0"/>
        <w:bidi w:val="1"/>
      </w:pPr>
      <w:r>
        <w:rPr>
          <w:rFonts w:ascii="Noto Sans" w:hAnsi="Noto Sans" w:eastAsia="Noto Sans TC" w:cs="Noto Sans Arabic"/>
          <w:b w:val="0"/>
          <w:rtl w:val="1"/>
        </w:rPr>
        <w:t>4. Intelligent UI وتأكيد المستخدم</w:t>
      </w:r>
    </w:p>
    <w:p>
      <w:pPr>
        <w:keepLines w:val="0"/>
        <w:bidi w:val="1"/>
      </w:pPr>
      <w:r>
        <w:rPr>
          <w:rFonts w:ascii="Noto Sans" w:hAnsi="Noto Sans" w:eastAsia="Noto Sans TC" w:cs="Noto Sans Arabic"/>
          <w:b w:val="0"/>
          <w:rtl w:val="1"/>
        </w:rPr>
        <w:t>تجمع Intelligent UI بين الإجابات وبطاقات المعلومات التفاعلية ومداخل الوظائف وواجهات التأكيد. لا تُقدم معلومات المخلوقات الخيالية والمعدات والأغراض وسجلات اللعب الشخصية وأمان الحساب إلا إذا كانت الوظيفة متاحة، وبناءً على تفويض قانوني من الشخص المعني، وفي حدود الهوية والصلاحيات ذات الصلة التي يؤكدها النظام الخلفي. لا يعني ظهور إجابة من الذكاء الاصطناعي أو بطاقة أو زر أن العملية قد نُفذت؛ ويجب أن تخضع العمليات الحساسة للتحقق الرسمي والتأكيد اللازم، وأن تُعتمد نتائج النظام، ويحظر تجاوز نظام الصلاحيات لتعديل بيانات اللاعبين أو قراءة معلومات الآخرين غير العامة. البيانات التجريبية الموسومة بوضوح ليست سجلات الشخص المعني، ولا تثبت نجاح استعلام أو عملية فعلية.</w:t>
      </w:r>
    </w:p>
    <w:p>
      <w:pPr>
        <w:pStyle w:val="Heading1"/>
        <w:keepLines w:val="0"/>
        <w:bidi w:val="1"/>
      </w:pPr>
      <w:r>
        <w:rPr>
          <w:rFonts w:ascii="Noto Sans" w:hAnsi="Noto Sans" w:eastAsia="Noto Sans TC" w:cs="Noto Sans Arabic"/>
          <w:b w:val="0"/>
          <w:rtl w:val="1"/>
        </w:rPr>
        <w:t>5. دقة المخرجات والتحقق من المعلومات المهمة</w:t>
      </w:r>
    </w:p>
    <w:p>
      <w:pPr>
        <w:keepLines w:val="0"/>
        <w:bidi w:val="1"/>
      </w:pPr>
      <w:r>
        <w:rPr>
          <w:rFonts w:ascii="Noto Sans" w:hAnsi="Noto Sans" w:eastAsia="Noto Sans TC" w:cs="Noto Sans Arabic"/>
          <w:b w:val="0"/>
          <w:rtl w:val="1"/>
        </w:rPr>
        <w:t xml:space="preserve">قد تتضمن إجابات الذكاء الاصطناعي سوء فهم أو سهوًا أو تأخرًا في المعلومات، ولا تحل محل الإعلانات الرسمية أو قواعد اللعبة أو شروط المنتجات والاسترداد أو السجلات المتحقق منها بموجب تفويض أو نتائج المراجعة البشرية. على المستخدم التحقق من المعلومات المهمة بصورة مستقلة، ويمكنه الإبلاغ عن الأخطاء أو تقديم تظلم عبر </w:t>
      </w:r>
      <w:hyperlink r:id="rId11">
        <w:r>
          <w:rPr>
            <w:rFonts w:ascii="Noto Sans" w:hAnsi="Noto Sans" w:eastAsia="Noto Sans TC"/>
            <w:b w:val="0"/>
          </w:rPr>
          <w:t xml:space="preserve">support@dawnbloom.net</w:t>
        </w:r>
      </w:hyperlink>
      <w:r>
        <w:rPr>
          <w:rFonts w:ascii="Noto Sans" w:hAnsi="Noto Sans" w:eastAsia="Noto Sans TC" w:cs="Noto Sans Arabic"/>
          <w:b w:val="0"/>
          <w:rtl w:val="1"/>
        </w:rPr>
        <w:t xml:space="preserve">؛ ولا تُغيّر اقتراحات الذكاء الاصطناعي بذاتها حقوق المستخدم الحالية أو سبل الانتصاف القانونية. لا يصدر الذكاء الاصطناعي أحكامًا نهائية في الشؤون القانونية أو الطبية أو المالية أو غيرها من الشؤون المهنية.</w:t>
      </w:r>
    </w:p>
    <w:p>
      <w:pPr>
        <w:pStyle w:val="Heading1"/>
        <w:keepLines w:val="0"/>
        <w:bidi w:val="1"/>
      </w:pPr>
      <w:r>
        <w:rPr>
          <w:rFonts w:ascii="Noto Sans" w:hAnsi="Noto Sans" w:eastAsia="Noto Sans TC" w:cs="Noto Sans Arabic"/>
          <w:b w:val="0"/>
          <w:rtl w:val="1"/>
        </w:rPr>
        <w:t>6. الحقوق والمسؤوليات المتعلقة بالمدخلات والمخرجات</w:t>
      </w:r>
    </w:p>
    <w:p>
      <w:pPr>
        <w:keepLines w:val="0"/>
        <w:bidi w:val="1"/>
      </w:pPr>
      <w:r>
        <w:rPr>
          <w:rFonts w:ascii="Noto Sans" w:hAnsi="Noto Sans" w:eastAsia="Noto Sans TC" w:cs="Noto Sans Arabic"/>
          <w:b w:val="0"/>
          <w:rtl w:val="1"/>
        </w:rPr>
        <w:t>يجب أن يكون للمستخدم الحق في تقديم محتوى المدخلات، ويحظر عليه تقديم معلومات غير قانونية أو تنتهك حقوق الآخرين. يتحمل المستخدم مسؤولية قانونية استخدام المخرجات ونشرها وإجراء التحقق اللازم. لا تمنح الشركة، بمجرد توليد إجابة، حقوقًا في أعمال الغير أو علاماتهم التجارية أو بياناتهم الشخصية؛ ولا تستبعد هذه الشروط حقوق المستخدم القائمة قانونًا في المخرجات أو غيرها من الحقوق المقررة قانونًا.</w:t>
      </w:r>
    </w:p>
    <w:p>
      <w:pPr>
        <w:pStyle w:val="Heading1"/>
        <w:keepLines w:val="0"/>
        <w:bidi w:val="1"/>
      </w:pPr>
      <w:r>
        <w:rPr>
          <w:rFonts w:ascii="Noto Sans" w:hAnsi="Noto Sans" w:eastAsia="Noto Sans TC" w:cs="Noto Sans Arabic"/>
          <w:b w:val="0"/>
          <w:rtl w:val="1"/>
        </w:rPr>
        <w:t>7. الاستخدام الآمن وحظر إساءة الاستخدام</w:t>
      </w:r>
    </w:p>
    <w:p>
      <w:pPr>
        <w:keepLines w:val="0"/>
        <w:bidi w:val="1"/>
      </w:pPr>
      <w:r>
        <w:rPr>
          <w:rFonts w:ascii="Noto Sans" w:hAnsi="Noto Sans" w:eastAsia="Noto Sans TC" w:cs="Noto Sans Arabic"/>
          <w:b w:val="0"/>
          <w:rtl w:val="1"/>
        </w:rPr>
        <w:t>يحظر شن الهجمات أو إجراء طلبات مكثفة بقصد إساءة الاستخدام أو انتحال الهوية أو تجاوز رموز التحقق أو الصلاحيات أو تقديم تعليمات خبيثة أو سرقة المحتوى غير العام أو اختلاق تعهدات رسمية كاذبة. يُرجى عدم تقديم كلمات المرور أو رموز التحقق الكاملة المستخدمة لمرة واحدة أو كلمات مرور الدفع أو رموز الوصول أو غيرها من المعلومات الحساسة غير الضرورية.</w:t>
      </w:r>
    </w:p>
    <w:p>
      <w:pPr>
        <w:pStyle w:val="Heading1"/>
        <w:keepLines w:val="0"/>
        <w:bidi w:val="1"/>
      </w:pPr>
      <w:r>
        <w:rPr>
          <w:rFonts w:ascii="Noto Sans" w:hAnsi="Noto Sans" w:eastAsia="Noto Sans TC" w:cs="Noto Sans Arabic"/>
          <w:b w:val="0"/>
          <w:rtl w:val="1"/>
        </w:rPr>
        <w:t>8. بيانات الحساب وعمليات اللعبة</w:t>
      </w:r>
    </w:p>
    <w:p>
      <w:pPr>
        <w:keepLines w:val="0"/>
        <w:bidi w:val="1"/>
      </w:pPr>
      <w:r>
        <w:rPr>
          <w:rFonts w:ascii="Noto Sans" w:hAnsi="Noto Sans" w:eastAsia="Noto Sans TC" w:cs="Noto Sans Arabic"/>
          <w:b w:val="0"/>
          <w:rtl w:val="1"/>
        </w:rPr>
        <w:t>لا يجوز الاطلاع على المخلوقات الخيالية والمعدات والأغراض والأصول والسجلات الشخصية إلا في حدود التفويض القانوني من الشخص المعني والتحقق الذي يجريه النظام الخلفي. لا يحصل الذكاء الاصطناعي على صلاحيات GM، ولا يُغيّر مباشرةً الأصول أو العقوبات أو آليات اللعب الرسمية؛ وتخضع الاستعادة والنزاعات والتظلمات للتحقق عبر الإجراءات الرسمية.</w:t>
      </w:r>
    </w:p>
    <w:p>
      <w:pPr>
        <w:pStyle w:val="Heading1"/>
        <w:keepLines w:val="0"/>
        <w:bidi w:val="1"/>
      </w:pPr>
      <w:r>
        <w:rPr>
          <w:rFonts w:ascii="Noto Sans" w:hAnsi="Noto Sans" w:eastAsia="Noto Sans TC" w:cs="Noto Sans Arabic"/>
          <w:b w:val="0"/>
          <w:rtl w:val="1"/>
        </w:rPr>
        <w:t>9. القاصرون</w:t>
      </w:r>
    </w:p>
    <w:p>
      <w:pPr>
        <w:keepLines w:val="0"/>
        <w:bidi w:val="1"/>
      </w:pPr>
      <w:r>
        <w:rPr>
          <w:rFonts w:ascii="Noto Sans" w:hAnsi="Noto Sans" w:eastAsia="Noto Sans TC" w:cs="Noto Sans Arabic"/>
          <w:b w:val="0"/>
          <w:rtl w:val="1"/>
        </w:rPr>
        <w:t>تظل خدمات الحساب واللعبة خاضعة لشرط الأهلية الحالي المتمثل في بلوغ 18 عامًا، ولا يُخفف هذا الشرط بسبب خدمة الذكاء الاصطناعي. لا يعني الوصول إلى المعلومات العامة السماح بتسجيل حساب لعبة أو استخدامه. عند التعامل مع معلومات القاصرين، تُراعى متطلبات الحماية المنطبقة، ولا تحل محادثة الذكاء الاصطناعي محل موافقة ولي الأمر أو التحقق المطلوبين قانونًا.</w:t>
      </w:r>
    </w:p>
    <w:p>
      <w:pPr>
        <w:pStyle w:val="Heading1"/>
        <w:keepLines w:val="0"/>
        <w:bidi w:val="1"/>
      </w:pPr>
      <w:r>
        <w:rPr>
          <w:rFonts w:ascii="Noto Sans" w:hAnsi="Noto Sans" w:eastAsia="Noto Sans TC" w:cs="Noto Sans Arabic"/>
          <w:b w:val="0"/>
          <w:rtl w:val="1"/>
        </w:rPr>
        <w:t>10. نماذج الأطراف الثالثة ومعالجة البيانات</w:t>
      </w:r>
    </w:p>
    <w:p>
      <w:pPr>
        <w:keepLines w:val="0"/>
        <w:bidi w:val="1"/>
      </w:pPr>
      <w:r>
        <w:rPr>
          <w:rFonts w:ascii="Noto Sans" w:hAnsi="Noto Sans" w:eastAsia="Noto Sans TC" w:cs="Noto Sans Arabic"/>
          <w:b w:val="0"/>
          <w:rtl w:val="1"/>
        </w:rPr>
        <w:t>يعتمد الربط التقني على إمكانات Qwen المقدمة عبر Alibaba Cloud Model Studio؛ ويستخدم الربط بالنموذج نقطة نهاية في منطقة طوكيو باليابان. لا يعني موقع نقطة النهاية أن جميع بيانات المستخدمين تُعالج في اليابان وحدها، ولا يحل محل التحقق من اتفاقيات الخدمة الفعلية وسجلات مزود الخدمة وضوابط التدريب وإعدادات الاحتفاظ والالتزامات المتعلقة بنقل البيانات عبر الحدود. يشارك OpenAI Codex في بناء منظومة المعرفة وتطوير الوظائف وتصميم التفاعل والتحسين المستمر، ولا يحصل تلقائيًا بسبب ذلك على بيانات محادثات المستخدمين، ولا يعني ذلك أنه درّب نموذج Qwen الأساسي. تخضع المدخلات المحددة والسياق وسجلات الخدمة والاحتفاظ وضوابط التدريب لسياسة خصوصية DAWNBLOOM الحالية والإشعارات المحددة المنطبقة واتفاقيات الخدمة الفعلية. لا يزال بيان الخصوصية الخاص بالذكاء الاصطناعي قيد التحقق، ولا تحل هذه الشروط محل تأكيد الوقائع المتعلقة بمعالجة البيانات. لا يُتاح النموذج المعني أو معالجة البيانات الشخصية ذات الصلة قبل استكمال الإشعارات والتفويض والتحقق الأمني اللازمة.</w:t>
      </w:r>
    </w:p>
    <w:p>
      <w:pPr>
        <w:pStyle w:val="Heading1"/>
        <w:keepLines w:val="0"/>
        <w:bidi w:val="1"/>
      </w:pPr>
      <w:r>
        <w:rPr>
          <w:rFonts w:ascii="Noto Sans" w:hAnsi="Noto Sans" w:eastAsia="Noto Sans TC" w:cs="Noto Sans Arabic"/>
          <w:b w:val="0"/>
          <w:rtl w:val="1"/>
        </w:rPr>
        <w:t>11. التوافر والأعطال وتعديل الخدمة</w:t>
      </w:r>
    </w:p>
    <w:p>
      <w:pPr>
        <w:keepLines w:val="0"/>
        <w:bidi w:val="1"/>
      </w:pPr>
      <w:r>
        <w:rPr>
          <w:rFonts w:ascii="Noto Sans" w:hAnsi="Noto Sans" w:eastAsia="Noto Sans TC" w:cs="Noto Sans Arabic"/>
          <w:b w:val="0"/>
          <w:rtl w:val="1"/>
        </w:rPr>
        <w:t>تُحدد الوظائف الفعلية وفق المداخل المتاحة وحالة الخدمة الرسمية. قد تحد الصيانة أو الأعطال أو الحوادث الأمنية أو مشكلات السعة أو الاضطرابات لدى المزود من بعض الخدمات؛ ونتعامل معها بالقدر اللازم ونُبلغ بالتغييرات الجوهرية عبر القنوات المناسبة. لا يعني إيقاف طلبات النموذج إلغاء الحساب، ولا تصبح حقوق المشتريات القائمة أو سبل الانتصاف القانونية غير نافذة تلقائيًا بسبب تقييد وظائف الذكاء الاصطناعي.</w:t>
      </w:r>
    </w:p>
    <w:p>
      <w:pPr>
        <w:pStyle w:val="Heading1"/>
        <w:keepLines w:val="0"/>
        <w:bidi w:val="1"/>
      </w:pPr>
      <w:r>
        <w:rPr>
          <w:rFonts w:ascii="Noto Sans" w:hAnsi="Noto Sans" w:eastAsia="Noto Sans TC" w:cs="Noto Sans Arabic"/>
          <w:b w:val="0"/>
          <w:rtl w:val="1"/>
        </w:rPr>
        <w:t>12. التعامل مع المخالفات والتظلمات وتصحيح الأخطاء</w:t>
      </w:r>
    </w:p>
    <w:p>
      <w:pPr>
        <w:keepLines w:val="0"/>
        <w:bidi w:val="1"/>
      </w:pPr>
      <w:r>
        <w:rPr>
          <w:rFonts w:ascii="Noto Sans" w:hAnsi="Noto Sans" w:eastAsia="Noto Sans TC" w:cs="Noto Sans Arabic"/>
          <w:b w:val="0"/>
          <w:rtl w:val="1"/>
        </w:rPr>
        <w:t>يجوز، بحسب المخاطر الفعلية، تقييد معدل الطلبات أو تعليق الوظائف الذكية ذات الصلة أو تطبيق التدابير الواردة في قواعد اللاعبين، مع توفير قناة رسمية للتظلم. يمكن للمستخدم تقديم الإجابة المحددة ووقت السؤال ومواد التحقق اللازمة لطلب التصحيح؛ ويُرجى حجب المعلومات الشخصية غير ذات الصلة. لا تُشكل إجابة الذكاء الاصطناعي بذاتها قرارًا بفرض عقوبة.</w:t>
      </w:r>
    </w:p>
    <w:p>
      <w:pPr>
        <w:pStyle w:val="Heading1"/>
        <w:keepLines w:val="0"/>
        <w:bidi w:val="1"/>
      </w:pPr>
      <w:r>
        <w:rPr>
          <w:rFonts w:ascii="Noto Sans" w:hAnsi="Noto Sans" w:eastAsia="Noto Sans TC" w:cs="Noto Sans Arabic"/>
          <w:b w:val="0"/>
          <w:rtl w:val="1"/>
        </w:rPr>
        <w:t>13. التوقف عن الاستخدام وحقوق البيانات</w:t>
      </w:r>
    </w:p>
    <w:p>
      <w:pPr>
        <w:keepLines w:val="0"/>
        <w:bidi w:val="1"/>
      </w:pPr>
      <w:r>
        <w:rPr>
          <w:rFonts w:ascii="Noto Sans" w:hAnsi="Noto Sans" w:eastAsia="Noto Sans TC" w:cs="Noto Sans Arabic"/>
          <w:b w:val="0"/>
          <w:rtl w:val="1"/>
        </w:rPr>
        <w:t xml:space="preserve">يمكن للمستخدم التوقف عن المحادثة، وسحب الموافقة التي يجوز سحبها قانونًا، ومسح سجل المحادثة المحلي، وتقديم طلبات الاستعلام والتصحيح والحذف وتقييد المعالجة والشكاوى عبر </w:t>
      </w:r>
      <w:hyperlink r:id="rId12">
        <w:r>
          <w:rPr>
            <w:rFonts w:ascii="Noto Sans" w:hAnsi="Noto Sans" w:eastAsia="Noto Sans TC"/>
            <w:b w:val="0"/>
          </w:rPr>
          <w:t xml:space="preserve">legal@dawnbloom.net</w:t>
        </w:r>
      </w:hyperlink>
      <w:r>
        <w:rPr>
          <w:rFonts w:ascii="Noto Sans" w:hAnsi="Noto Sans" w:eastAsia="Noto Sans TC" w:cs="Noto Sans Arabic"/>
          <w:b w:val="0"/>
          <w:rtl w:val="1"/>
        </w:rPr>
        <w:t xml:space="preserve"> أو خدمة العملاء الرسمية. لا يؤدي مسح السجل المحلي تلقائيًا إلى حذف سجلات الخدمة أو تذاكر الخدمة أو سجلات الأطراف الثالثة المحتفظ بها قانونًا؛ وتُجرى المعالجة اللاحقة بحسب فئات البيانات الفعلية والالتزامات القانونية ومتطلبات الأمان والنزاعات غير المحسومة، دون المساس بالحقوق القائمة. لا يؤدي التوقف عن الاستخدام إلى سقوط الشكاوى القائمة أو طلبات الاسترداد أو الخصوصية أو سبل الانتصاف القانونية.</w:t>
      </w:r>
    </w:p>
    <w:p>
      <w:pPr>
        <w:pStyle w:val="Heading1"/>
        <w:keepLines w:val="0"/>
        <w:bidi w:val="1"/>
      </w:pPr>
      <w:r>
        <w:rPr>
          <w:rFonts w:ascii="Noto Sans" w:hAnsi="Noto Sans" w:eastAsia="Noto Sans TC" w:cs="Noto Sans Arabic"/>
          <w:b w:val="0"/>
          <w:rtl w:val="1"/>
        </w:rPr>
        <w:t>14. التحديثات والشكاوى والتواصل</w:t>
      </w:r>
    </w:p>
    <w:p>
      <w:pPr>
        <w:keepLines w:val="0"/>
        <w:bidi w:val="1"/>
      </w:pPr>
      <w:r>
        <w:rPr>
          <w:rFonts w:ascii="Noto Sans" w:hAnsi="Noto Sans" w:eastAsia="Noto Sans TC" w:cs="Noto Sans Arabic"/>
          <w:b w:val="0"/>
          <w:rtl w:val="1"/>
        </w:rPr>
        <w:t xml:space="preserve">يُبلغ عن التغييرات الجوهرية في الشروط أو المعالجة وتُستكمل الإجراءات اللازمة وفق القانون المنطبق، دون الانتقاص بأثر رجعي من الحقوق القانونية التي نشأت بالفعل. المسائل القانونية وحقوق البيانات: </w:t>
      </w:r>
      <w:hyperlink r:id="rId12">
        <w:r>
          <w:rPr>
            <w:rFonts w:ascii="Noto Sans" w:hAnsi="Noto Sans" w:eastAsia="Noto Sans TC"/>
            <w:b w:val="0"/>
          </w:rPr>
          <w:t xml:space="preserve">legal@dawnbloom.net</w:t>
        </w:r>
      </w:hyperlink>
      <w:r>
        <w:rPr>
          <w:rFonts w:ascii="Noto Sans" w:hAnsi="Noto Sans" w:eastAsia="Noto Sans TC" w:cs="Noto Sans Arabic"/>
          <w:b w:val="0"/>
          <w:rtl w:val="1"/>
        </w:rPr>
        <w:t xml:space="preserve">؛ خدمة العملاء وتصحيح الأخطاء: </w:t>
      </w:r>
      <w:hyperlink r:id="rId11">
        <w:r>
          <w:rPr>
            <w:rFonts w:ascii="Noto Sans" w:hAnsi="Noto Sans" w:eastAsia="Noto Sans TC"/>
            <w:b w:val="0"/>
          </w:rPr>
          <w:t xml:space="preserve">support@dawnbloom.net</w:t>
        </w:r>
      </w:hyperlink>
      <w:r>
        <w:rPr>
          <w:rFonts w:ascii="Noto Sans" w:hAnsi="Noto Sans" w:eastAsia="Noto Sans TC" w:cs="Noto Sans Arabic"/>
          <w:b w:val="0"/>
          <w:rtl w:val="1"/>
        </w:rPr>
        <w:t xml:space="preserve">؛ الحوادث الأمنية: </w:t>
      </w:r>
      <w:hyperlink r:id="rId13">
        <w:r>
          <w:rPr>
            <w:rFonts w:ascii="Noto Sans" w:hAnsi="Noto Sans" w:eastAsia="Noto Sans TC"/>
            <w:b w:val="0"/>
          </w:rPr>
          <w:t xml:space="preserve">security@dawnbloom.net</w:t>
        </w:r>
      </w:hyperlink>
      <w:r>
        <w:rPr>
          <w:rFonts w:ascii="Noto Sans" w:hAnsi="Noto Sans" w:eastAsia="Noto Sans TC" w:cs="Noto Sans Arabic"/>
          <w:b w:val="0"/>
          <w:rtl w:val="1"/>
        </w:rPr>
        <w:t xml:space="preserve">. يظل عنوان التواصل القانوني هو الوارد في المعلومات القانونية الرسمية.</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mailto:legal@dawnbloom.net" TargetMode="External"/><Relationship Id="rId13" Type="http://schemas.openxmlformats.org/officeDocument/2006/relationships/hyperlink" Target="mailto:security@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شروط استخدام DAWNBLOOM AI</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